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C2E3" w14:textId="77777777" w:rsidR="00436EE0" w:rsidRDefault="00436EE0" w:rsidP="00436EE0">
      <w:pPr>
        <w:pStyle w:val="NoSpacing"/>
      </w:pPr>
      <w:r>
        <w:t xml:space="preserve">                                </w:t>
      </w:r>
      <w:r>
        <w:rPr>
          <w:noProof/>
        </w:rPr>
        <w:drawing>
          <wp:inline distT="0" distB="0" distL="0" distR="0" wp14:anchorId="41969137" wp14:editId="484DD288">
            <wp:extent cx="3810000" cy="1619250"/>
            <wp:effectExtent l="0" t="0" r="0" b="0"/>
            <wp:docPr id="1229467096" name="Picture 1229467096" descr="A logo for a disability for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810000" cy="1619250"/>
                    </a:xfrm>
                    <a:prstGeom prst="rect">
                      <a:avLst/>
                    </a:prstGeom>
                  </pic:spPr>
                </pic:pic>
              </a:graphicData>
            </a:graphic>
          </wp:inline>
        </w:drawing>
      </w:r>
    </w:p>
    <w:p w14:paraId="16C262DF" w14:textId="77777777" w:rsidR="00436EE0" w:rsidRDefault="00436EE0" w:rsidP="00436EE0">
      <w:pPr>
        <w:pStyle w:val="NoSpacing"/>
      </w:pPr>
    </w:p>
    <w:p w14:paraId="3A57C7C6" w14:textId="77777777" w:rsidR="00436EE0" w:rsidRDefault="00436EE0" w:rsidP="00436EE0">
      <w:pPr>
        <w:pStyle w:val="NoSpacing"/>
      </w:pPr>
    </w:p>
    <w:p w14:paraId="5497CAB3" w14:textId="77777777" w:rsidR="00436EE0" w:rsidRDefault="00436EE0" w:rsidP="00436EE0">
      <w:pPr>
        <w:pStyle w:val="NoSpacing"/>
      </w:pPr>
    </w:p>
    <w:p w14:paraId="5E4811B6" w14:textId="77777777" w:rsidR="00436EE0" w:rsidRDefault="00436EE0" w:rsidP="00436EE0">
      <w:pPr>
        <w:pStyle w:val="NoSpacing"/>
      </w:pPr>
    </w:p>
    <w:p w14:paraId="0DDC6769" w14:textId="77777777" w:rsidR="00436EE0" w:rsidRDefault="00436EE0" w:rsidP="00436EE0">
      <w:pPr>
        <w:pStyle w:val="NoSpacing"/>
      </w:pPr>
    </w:p>
    <w:p w14:paraId="5B77D706" w14:textId="77777777" w:rsidR="00436EE0" w:rsidRDefault="00436EE0" w:rsidP="00436EE0">
      <w:pPr>
        <w:pStyle w:val="NoSpacing"/>
      </w:pPr>
    </w:p>
    <w:p w14:paraId="09DA7772" w14:textId="77777777" w:rsidR="001227ED" w:rsidRDefault="001227ED" w:rsidP="00436EE0">
      <w:pPr>
        <w:pStyle w:val="NoSpacing"/>
      </w:pPr>
    </w:p>
    <w:p w14:paraId="2F949931" w14:textId="77777777" w:rsidR="001227ED" w:rsidRDefault="001227ED" w:rsidP="00436EE0">
      <w:pPr>
        <w:pStyle w:val="NoSpacing"/>
      </w:pPr>
    </w:p>
    <w:p w14:paraId="26BEA622" w14:textId="77777777" w:rsidR="001227ED" w:rsidRDefault="001227ED" w:rsidP="00436EE0">
      <w:pPr>
        <w:pStyle w:val="NoSpacing"/>
      </w:pPr>
    </w:p>
    <w:p w14:paraId="1F80DDA5" w14:textId="77777777" w:rsidR="00436EE0" w:rsidRDefault="00436EE0" w:rsidP="00436EE0">
      <w:pPr>
        <w:pStyle w:val="NoSpacing"/>
      </w:pPr>
    </w:p>
    <w:p w14:paraId="2DC3BBF7" w14:textId="77777777" w:rsidR="00436EE0" w:rsidRDefault="00436EE0" w:rsidP="00436EE0">
      <w:pPr>
        <w:pStyle w:val="NoSpacing"/>
      </w:pPr>
    </w:p>
    <w:p w14:paraId="7CD4188C" w14:textId="718DCDDE" w:rsidR="00436EE0" w:rsidRPr="00436EE0" w:rsidRDefault="00436EE0" w:rsidP="00436EE0">
      <w:pPr>
        <w:pStyle w:val="NoSpacing"/>
        <w:rPr>
          <w:rFonts w:ascii="Arial" w:eastAsia="Georgia" w:hAnsi="Arial" w:cs="Arial"/>
          <w:b/>
          <w:bCs/>
        </w:rPr>
      </w:pPr>
      <w:r w:rsidRPr="00436EE0">
        <w:rPr>
          <w:rFonts w:ascii="Arial" w:eastAsia="Georgia" w:hAnsi="Arial" w:cs="Arial"/>
          <w:b/>
          <w:bCs/>
        </w:rPr>
        <w:t xml:space="preserve">Terms of Reference for Development </w:t>
      </w:r>
      <w:r w:rsidR="006A2C2B">
        <w:rPr>
          <w:rFonts w:ascii="Arial" w:eastAsia="Georgia" w:hAnsi="Arial" w:cs="Arial"/>
          <w:b/>
          <w:bCs/>
        </w:rPr>
        <w:t xml:space="preserve">of </w:t>
      </w:r>
      <w:r w:rsidR="00D559BF">
        <w:rPr>
          <w:rFonts w:ascii="Arial" w:eastAsia="Georgia" w:hAnsi="Arial" w:cs="Arial"/>
          <w:b/>
          <w:bCs/>
        </w:rPr>
        <w:t xml:space="preserve">Training of trainer Package on CRPD, The African Disability Protocol and </w:t>
      </w:r>
      <w:r w:rsidR="00B85DBA">
        <w:rPr>
          <w:rFonts w:ascii="Arial" w:eastAsia="Georgia" w:hAnsi="Arial" w:cs="Arial"/>
          <w:b/>
          <w:bCs/>
        </w:rPr>
        <w:t>the Development Agenda 2063</w:t>
      </w:r>
    </w:p>
    <w:p w14:paraId="490EAEF9" w14:textId="140FF81D" w:rsidR="00436EE0" w:rsidRPr="00436EE0" w:rsidRDefault="00436EE0" w:rsidP="00436EE0">
      <w:pPr>
        <w:pStyle w:val="NoSpacing"/>
        <w:rPr>
          <w:rFonts w:ascii="Arial" w:eastAsia="Aptos" w:hAnsi="Arial" w:cs="Arial"/>
          <w:sz w:val="28"/>
          <w:szCs w:val="28"/>
        </w:rPr>
      </w:pPr>
      <w:r w:rsidRPr="00436EE0">
        <w:rPr>
          <w:rFonts w:ascii="Arial" w:hAnsi="Arial" w:cs="Arial"/>
        </w:rPr>
        <w:br/>
      </w:r>
    </w:p>
    <w:p w14:paraId="535B61CB" w14:textId="77777777" w:rsidR="00436EE0" w:rsidRPr="00436EE0" w:rsidRDefault="00436EE0" w:rsidP="00436EE0">
      <w:pPr>
        <w:pStyle w:val="NoSpacing"/>
        <w:rPr>
          <w:rFonts w:ascii="Arial" w:hAnsi="Arial" w:cs="Arial"/>
        </w:rPr>
      </w:pPr>
    </w:p>
    <w:p w14:paraId="73C392B1" w14:textId="77777777" w:rsidR="00436EE0" w:rsidRPr="00436EE0" w:rsidRDefault="00436EE0" w:rsidP="00436EE0">
      <w:pPr>
        <w:pStyle w:val="NoSpacing"/>
        <w:rPr>
          <w:rFonts w:ascii="Arial" w:hAnsi="Arial" w:cs="Arial"/>
        </w:rPr>
      </w:pPr>
    </w:p>
    <w:p w14:paraId="30DF8A5C" w14:textId="77777777" w:rsidR="00436EE0" w:rsidRPr="00436EE0" w:rsidRDefault="00436EE0" w:rsidP="00436EE0">
      <w:pPr>
        <w:pStyle w:val="NoSpacing"/>
        <w:rPr>
          <w:rFonts w:ascii="Arial" w:hAnsi="Arial" w:cs="Arial"/>
        </w:rPr>
      </w:pPr>
    </w:p>
    <w:p w14:paraId="0ACBC138" w14:textId="77777777" w:rsidR="00436EE0" w:rsidRPr="00436EE0" w:rsidRDefault="00436EE0" w:rsidP="00436EE0">
      <w:pPr>
        <w:pStyle w:val="NoSpacing"/>
        <w:rPr>
          <w:rFonts w:ascii="Arial" w:hAnsi="Arial" w:cs="Arial"/>
        </w:rPr>
      </w:pPr>
    </w:p>
    <w:p w14:paraId="45C033FF" w14:textId="77777777" w:rsidR="00436EE0" w:rsidRPr="00436EE0" w:rsidRDefault="00436EE0" w:rsidP="00436EE0">
      <w:pPr>
        <w:pStyle w:val="NoSpacing"/>
        <w:rPr>
          <w:rFonts w:ascii="Arial" w:hAnsi="Arial" w:cs="Arial"/>
        </w:rPr>
      </w:pPr>
    </w:p>
    <w:p w14:paraId="79978F61" w14:textId="77777777" w:rsidR="00436EE0" w:rsidRPr="00436EE0" w:rsidRDefault="00436EE0" w:rsidP="00436EE0">
      <w:pPr>
        <w:pStyle w:val="NoSpacing"/>
        <w:rPr>
          <w:rFonts w:ascii="Arial" w:hAnsi="Arial" w:cs="Arial"/>
        </w:rPr>
      </w:pPr>
    </w:p>
    <w:p w14:paraId="466482F6" w14:textId="77777777" w:rsidR="00436EE0" w:rsidRPr="00436EE0" w:rsidRDefault="00436EE0" w:rsidP="00436EE0">
      <w:pPr>
        <w:pStyle w:val="NoSpacing"/>
        <w:rPr>
          <w:rFonts w:ascii="Arial" w:hAnsi="Arial" w:cs="Arial"/>
        </w:rPr>
      </w:pPr>
    </w:p>
    <w:p w14:paraId="1900E1A0" w14:textId="77777777" w:rsidR="00436EE0" w:rsidRPr="00436EE0" w:rsidRDefault="00436EE0" w:rsidP="00436EE0">
      <w:pPr>
        <w:pStyle w:val="NoSpacing"/>
        <w:rPr>
          <w:rFonts w:ascii="Arial" w:hAnsi="Arial" w:cs="Arial"/>
        </w:rPr>
      </w:pPr>
    </w:p>
    <w:p w14:paraId="51DC6AD3" w14:textId="77777777" w:rsidR="00436EE0" w:rsidRPr="00436EE0" w:rsidRDefault="00436EE0" w:rsidP="00436EE0">
      <w:pPr>
        <w:pStyle w:val="NoSpacing"/>
        <w:rPr>
          <w:rFonts w:ascii="Arial" w:hAnsi="Arial" w:cs="Arial"/>
        </w:rPr>
      </w:pPr>
    </w:p>
    <w:p w14:paraId="0FFB073C" w14:textId="77777777" w:rsidR="00436EE0" w:rsidRPr="00436EE0" w:rsidRDefault="00436EE0" w:rsidP="00436EE0">
      <w:pPr>
        <w:pStyle w:val="NoSpacing"/>
        <w:rPr>
          <w:rFonts w:ascii="Arial" w:hAnsi="Arial" w:cs="Arial"/>
        </w:rPr>
      </w:pPr>
    </w:p>
    <w:p w14:paraId="0B8737E3" w14:textId="121D875D" w:rsidR="005E2639" w:rsidRPr="00436EE0" w:rsidRDefault="00436EE0" w:rsidP="00436EE0">
      <w:pPr>
        <w:spacing w:line="360" w:lineRule="auto"/>
        <w:jc w:val="right"/>
        <w:rPr>
          <w:rFonts w:ascii="Arial" w:eastAsia="Georgia" w:hAnsi="Arial" w:cs="Arial"/>
          <w:b/>
          <w:bCs/>
          <w:color w:val="000000" w:themeColor="text1"/>
          <w:lang w:val="en-GB"/>
        </w:rPr>
      </w:pPr>
      <w:r w:rsidRPr="00436EE0">
        <w:rPr>
          <w:rFonts w:ascii="Arial" w:eastAsia="Georgia" w:hAnsi="Arial" w:cs="Arial"/>
          <w:b/>
          <w:bCs/>
          <w:color w:val="000000" w:themeColor="text1"/>
          <w:lang w:val="en-GB"/>
        </w:rPr>
        <w:t>March 2026</w:t>
      </w:r>
    </w:p>
    <w:p w14:paraId="7089699C" w14:textId="77777777" w:rsidR="00436EE0" w:rsidRPr="00436EE0" w:rsidRDefault="00436EE0" w:rsidP="00436EE0">
      <w:pPr>
        <w:spacing w:line="360" w:lineRule="auto"/>
        <w:jc w:val="right"/>
        <w:rPr>
          <w:rFonts w:ascii="Arial" w:eastAsia="Georgia" w:hAnsi="Arial" w:cs="Arial"/>
          <w:b/>
          <w:bCs/>
          <w:color w:val="000000" w:themeColor="text1"/>
          <w:lang w:val="en-GB"/>
        </w:rPr>
      </w:pPr>
    </w:p>
    <w:p w14:paraId="03E54A80" w14:textId="77777777" w:rsidR="00436EE0" w:rsidRDefault="00436EE0" w:rsidP="00436EE0">
      <w:pPr>
        <w:spacing w:line="360" w:lineRule="auto"/>
        <w:jc w:val="right"/>
        <w:rPr>
          <w:rFonts w:ascii="Georgia" w:eastAsia="Georgia" w:hAnsi="Georgia" w:cs="Georgia"/>
          <w:b/>
          <w:bCs/>
          <w:color w:val="000000" w:themeColor="text1"/>
          <w:lang w:val="en-GB"/>
        </w:rPr>
      </w:pPr>
    </w:p>
    <w:p w14:paraId="3F882BF7" w14:textId="77777777" w:rsidR="00436EE0" w:rsidRDefault="00436EE0" w:rsidP="00436EE0">
      <w:pPr>
        <w:spacing w:line="360" w:lineRule="auto"/>
        <w:jc w:val="right"/>
        <w:rPr>
          <w:rFonts w:ascii="Georgia" w:eastAsia="Georgia" w:hAnsi="Georgia" w:cs="Georgia"/>
          <w:b/>
          <w:bCs/>
          <w:color w:val="000000" w:themeColor="text1"/>
          <w:lang w:val="en-GB"/>
        </w:rPr>
      </w:pPr>
    </w:p>
    <w:p w14:paraId="6060AE19" w14:textId="77777777" w:rsidR="00436EE0" w:rsidRDefault="00436EE0" w:rsidP="00436EE0">
      <w:pPr>
        <w:spacing w:line="360" w:lineRule="auto"/>
        <w:jc w:val="right"/>
        <w:rPr>
          <w:rFonts w:ascii="Georgia" w:eastAsia="Georgia" w:hAnsi="Georgia" w:cs="Georgia"/>
          <w:b/>
          <w:bCs/>
          <w:color w:val="000000" w:themeColor="text1"/>
          <w:lang w:val="en-GB"/>
        </w:rPr>
      </w:pPr>
    </w:p>
    <w:p w14:paraId="49957252" w14:textId="77777777" w:rsidR="00436EE0" w:rsidRDefault="00436EE0" w:rsidP="00436EE0">
      <w:pPr>
        <w:spacing w:line="360" w:lineRule="auto"/>
        <w:jc w:val="right"/>
        <w:rPr>
          <w:rFonts w:ascii="Georgia" w:eastAsia="Georgia" w:hAnsi="Georgia" w:cs="Georgia"/>
          <w:b/>
          <w:bCs/>
          <w:color w:val="000000" w:themeColor="text1"/>
          <w:lang w:val="en-GB"/>
        </w:rPr>
      </w:pPr>
    </w:p>
    <w:p w14:paraId="5B2F462C" w14:textId="77777777" w:rsidR="00436EE0" w:rsidRDefault="00436EE0" w:rsidP="00436EE0">
      <w:pPr>
        <w:spacing w:line="360" w:lineRule="auto"/>
        <w:jc w:val="right"/>
        <w:rPr>
          <w:rFonts w:ascii="Georgia" w:eastAsia="Georgia" w:hAnsi="Georgia" w:cs="Georgia"/>
          <w:b/>
          <w:bCs/>
          <w:color w:val="000000" w:themeColor="text1"/>
          <w:lang w:val="en-GB"/>
        </w:rPr>
      </w:pPr>
    </w:p>
    <w:p w14:paraId="0E5561BD" w14:textId="77777777" w:rsidR="00436EE0" w:rsidRPr="00436EE0" w:rsidRDefault="00436EE0" w:rsidP="00436EE0">
      <w:pPr>
        <w:spacing w:line="360" w:lineRule="auto"/>
        <w:jc w:val="right"/>
        <w:rPr>
          <w:rFonts w:ascii="Georgia" w:eastAsia="Georgia" w:hAnsi="Georgia" w:cs="Georgia"/>
          <w:color w:val="000000" w:themeColor="text1"/>
        </w:rPr>
      </w:pPr>
    </w:p>
    <w:p w14:paraId="5D77AE5E" w14:textId="77777777" w:rsidR="005E2639" w:rsidRPr="001462D4" w:rsidRDefault="005E2639" w:rsidP="005E2639">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1. Introduction</w:t>
      </w:r>
    </w:p>
    <w:p w14:paraId="18D3AC57" w14:textId="5369411C" w:rsidR="005E2639" w:rsidRPr="001462D4" w:rsidRDefault="005E2639" w:rsidP="00D37725">
      <w:pPr>
        <w:pStyle w:val="Heading2"/>
        <w:jc w:val="both"/>
        <w:rPr>
          <w:rFonts w:ascii="Arial" w:eastAsiaTheme="minorEastAsia" w:hAnsi="Arial" w:cs="Arial"/>
          <w:b w:val="0"/>
          <w:bCs w:val="0"/>
          <w:color w:val="auto"/>
          <w:sz w:val="22"/>
          <w:szCs w:val="22"/>
        </w:rPr>
      </w:pPr>
      <w:r w:rsidRPr="001462D4">
        <w:rPr>
          <w:rFonts w:ascii="Arial" w:eastAsiaTheme="minorEastAsia" w:hAnsi="Arial" w:cs="Arial"/>
          <w:b w:val="0"/>
          <w:bCs w:val="0"/>
          <w:color w:val="auto"/>
          <w:sz w:val="22"/>
          <w:szCs w:val="22"/>
        </w:rPr>
        <w:t>The African Disability Forum (ADF) is the continental organization of organizations of persons with disabilities (OPDs) in Africa. ADF’s mission is to secure the rights and inclusion of all persons with disabilities in Africa, by building a stronger, more united and effective African disability movement and voice of persons with disabilities and their families. Currently, ADF has 49 National Federations of Organization of Persons with Disabilities, ten continental and four sub-regional OPDs. ADF has developed its Strategic Plan (2024-2028) which includes a key strategic objective of strengthening the capacities of both its members and ADF</w:t>
      </w:r>
    </w:p>
    <w:p w14:paraId="766DC1E1" w14:textId="77777777" w:rsidR="00302E89" w:rsidRPr="001462D4" w:rsidRDefault="00302E89" w:rsidP="004D588B">
      <w:pPr>
        <w:rPr>
          <w:rFonts w:ascii="Arial" w:eastAsiaTheme="majorEastAsia" w:hAnsi="Arial" w:cs="Arial"/>
          <w:b/>
          <w:bCs/>
          <w:color w:val="4F81BD" w:themeColor="accent1"/>
          <w:sz w:val="26"/>
          <w:szCs w:val="26"/>
        </w:rPr>
      </w:pPr>
    </w:p>
    <w:p w14:paraId="778EE122" w14:textId="7A1E45EE" w:rsidR="00DD4343" w:rsidRPr="001462D4" w:rsidRDefault="005E2639" w:rsidP="004D588B">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2</w:t>
      </w:r>
      <w:r w:rsidR="00424AE1" w:rsidRPr="001462D4">
        <w:rPr>
          <w:rFonts w:ascii="Arial" w:eastAsiaTheme="majorEastAsia" w:hAnsi="Arial" w:cs="Arial"/>
          <w:b/>
          <w:bCs/>
          <w:color w:val="4F81BD" w:themeColor="accent1"/>
          <w:sz w:val="26"/>
          <w:szCs w:val="26"/>
        </w:rPr>
        <w:t>. Background and Context</w:t>
      </w:r>
    </w:p>
    <w:p w14:paraId="414E577F" w14:textId="77777777" w:rsidR="00CB58F6" w:rsidRPr="001462D4" w:rsidRDefault="00CB58F6" w:rsidP="00D37725">
      <w:pPr>
        <w:jc w:val="both"/>
        <w:rPr>
          <w:rFonts w:ascii="Arial" w:hAnsi="Arial" w:cs="Arial"/>
        </w:rPr>
      </w:pPr>
      <w:r w:rsidRPr="001462D4">
        <w:rPr>
          <w:rFonts w:ascii="Arial" w:hAnsi="Arial" w:cs="Arial"/>
        </w:rPr>
        <w:t xml:space="preserve">Youth with disabilities represent an important constituency within the African disability movement and play a critical role in advancing disability rights, inclusive policies, and social change. Despite their potential, many </w:t>
      </w:r>
      <w:proofErr w:type="gramStart"/>
      <w:r w:rsidRPr="001462D4">
        <w:rPr>
          <w:rFonts w:ascii="Arial" w:hAnsi="Arial" w:cs="Arial"/>
        </w:rPr>
        <w:t>youth</w:t>
      </w:r>
      <w:proofErr w:type="gramEnd"/>
      <w:r w:rsidRPr="001462D4">
        <w:rPr>
          <w:rFonts w:ascii="Arial" w:hAnsi="Arial" w:cs="Arial"/>
        </w:rPr>
        <w:t xml:space="preserve"> with disabilities face barriers in accessing leadership opportunities, participating in advocacy processes, and engaging with regional and international human rights frameworks.</w:t>
      </w:r>
    </w:p>
    <w:p w14:paraId="757F704F" w14:textId="77777777" w:rsidR="00CB58F6" w:rsidRPr="001462D4" w:rsidRDefault="00CB58F6" w:rsidP="00D37725">
      <w:pPr>
        <w:jc w:val="both"/>
        <w:rPr>
          <w:rFonts w:ascii="Arial" w:hAnsi="Arial" w:cs="Arial"/>
        </w:rPr>
      </w:pPr>
      <w:r w:rsidRPr="001462D4">
        <w:rPr>
          <w:rFonts w:ascii="Arial" w:hAnsi="Arial" w:cs="Arial"/>
        </w:rPr>
        <w:t>The Convention on the Rights of Persons with Disabilities (CRPD) provides the global normative framework for the protection and promotion of the rights of persons with disabilities. At the regional level, the African Disability Protocol (ADP) strengthens the protection of disability rights within the African human rights system. In parallel, the African Union Agenda 2063 sets out a long-term development vision for Africa, emphasizing inclusive growth, youth empowerment, and equality.</w:t>
      </w:r>
    </w:p>
    <w:p w14:paraId="35048A59" w14:textId="77777777" w:rsidR="00CB58F6" w:rsidRPr="001462D4" w:rsidRDefault="00CB58F6" w:rsidP="00D37725">
      <w:pPr>
        <w:jc w:val="both"/>
        <w:rPr>
          <w:rFonts w:ascii="Arial" w:hAnsi="Arial" w:cs="Arial"/>
        </w:rPr>
      </w:pPr>
      <w:r w:rsidRPr="001462D4">
        <w:rPr>
          <w:rFonts w:ascii="Arial" w:hAnsi="Arial" w:cs="Arial"/>
        </w:rPr>
        <w:t>Strengthening the leadership and advocacy capacities of youth with disabilities is essential to ensure meaningful participation in the implementation and monitoring of these frameworks.</w:t>
      </w:r>
    </w:p>
    <w:p w14:paraId="0A3C57B8" w14:textId="174CD533" w:rsidR="00CB58F6" w:rsidRPr="001462D4" w:rsidRDefault="00CB58F6" w:rsidP="00D37725">
      <w:pPr>
        <w:jc w:val="both"/>
        <w:rPr>
          <w:rFonts w:ascii="Arial" w:hAnsi="Arial" w:cs="Arial"/>
        </w:rPr>
      </w:pPr>
      <w:r w:rsidRPr="001462D4">
        <w:rPr>
          <w:rFonts w:ascii="Arial" w:hAnsi="Arial" w:cs="Arial"/>
        </w:rPr>
        <w:t>To support this objective</w:t>
      </w:r>
      <w:r w:rsidR="009D396F" w:rsidRPr="001462D4">
        <w:rPr>
          <w:rFonts w:ascii="Arial" w:hAnsi="Arial" w:cs="Arial"/>
        </w:rPr>
        <w:t xml:space="preserve"> and within </w:t>
      </w:r>
      <w:r w:rsidR="002E31FE" w:rsidRPr="001462D4">
        <w:rPr>
          <w:rFonts w:ascii="Arial" w:hAnsi="Arial" w:cs="Arial"/>
          <w:sz w:val="24"/>
          <w:szCs w:val="24"/>
        </w:rPr>
        <w:t>project “</w:t>
      </w:r>
      <w:r w:rsidR="002E31FE" w:rsidRPr="001462D4">
        <w:rPr>
          <w:rFonts w:ascii="Arial" w:hAnsi="Arial" w:cs="Arial"/>
          <w:b/>
          <w:sz w:val="24"/>
          <w:szCs w:val="24"/>
        </w:rPr>
        <w:t xml:space="preserve">Boosting the rights of people with disabilities in Africa (BRIDGE Africa)” </w:t>
      </w:r>
      <w:r w:rsidR="002E31FE" w:rsidRPr="001462D4">
        <w:rPr>
          <w:rFonts w:ascii="Arial" w:hAnsi="Arial" w:cs="Arial"/>
          <w:bCs/>
          <w:sz w:val="24"/>
          <w:szCs w:val="24"/>
        </w:rPr>
        <w:t xml:space="preserve">supported by the Deutsche Gesellschaft für </w:t>
      </w:r>
      <w:proofErr w:type="spellStart"/>
      <w:r w:rsidR="002E31FE" w:rsidRPr="001462D4">
        <w:rPr>
          <w:rFonts w:ascii="Arial" w:hAnsi="Arial" w:cs="Arial"/>
          <w:bCs/>
          <w:sz w:val="24"/>
          <w:szCs w:val="24"/>
        </w:rPr>
        <w:t>Internationale</w:t>
      </w:r>
      <w:proofErr w:type="spellEnd"/>
      <w:r w:rsidR="002E31FE" w:rsidRPr="001462D4">
        <w:rPr>
          <w:rFonts w:ascii="Arial" w:hAnsi="Arial" w:cs="Arial"/>
          <w:bCs/>
          <w:sz w:val="24"/>
          <w:szCs w:val="24"/>
        </w:rPr>
        <w:t xml:space="preserve"> Zusammenarbeit (GIZ)</w:t>
      </w:r>
      <w:r w:rsidR="00340457" w:rsidRPr="001462D4">
        <w:rPr>
          <w:rFonts w:ascii="Arial" w:hAnsi="Arial" w:cs="Arial"/>
          <w:bCs/>
          <w:sz w:val="24"/>
          <w:szCs w:val="24"/>
        </w:rPr>
        <w:t xml:space="preserve">, </w:t>
      </w:r>
      <w:r w:rsidRPr="001462D4">
        <w:rPr>
          <w:rFonts w:ascii="Arial" w:hAnsi="Arial" w:cs="Arial"/>
        </w:rPr>
        <w:t>the African Disability Forum intends to develop a Training of Trainers (</w:t>
      </w:r>
      <w:proofErr w:type="spellStart"/>
      <w:r w:rsidRPr="001462D4">
        <w:rPr>
          <w:rFonts w:ascii="Arial" w:hAnsi="Arial" w:cs="Arial"/>
        </w:rPr>
        <w:t>ToT</w:t>
      </w:r>
      <w:proofErr w:type="spellEnd"/>
      <w:r w:rsidRPr="001462D4">
        <w:rPr>
          <w:rFonts w:ascii="Arial" w:hAnsi="Arial" w:cs="Arial"/>
        </w:rPr>
        <w:t>) module aimed at empowering youth with disabilities to become trainers and advocates capable of disseminating knowledge on disability rights and inclusive development.</w:t>
      </w:r>
    </w:p>
    <w:p w14:paraId="5B98EE6F" w14:textId="4F7E95E8" w:rsidR="00DD4343" w:rsidRPr="001462D4" w:rsidRDefault="00CB58F6" w:rsidP="00D37725">
      <w:pPr>
        <w:jc w:val="both"/>
        <w:rPr>
          <w:rFonts w:ascii="Arial" w:hAnsi="Arial" w:cs="Arial"/>
        </w:rPr>
      </w:pPr>
      <w:r w:rsidRPr="001462D4">
        <w:rPr>
          <w:rFonts w:ascii="Arial" w:hAnsi="Arial" w:cs="Arial"/>
        </w:rPr>
        <w:t xml:space="preserve">The training will </w:t>
      </w:r>
      <w:r w:rsidR="005A1F4B">
        <w:rPr>
          <w:rFonts w:ascii="Arial" w:hAnsi="Arial" w:cs="Arial"/>
        </w:rPr>
        <w:t>be based on the</w:t>
      </w:r>
      <w:r w:rsidR="004B55F2">
        <w:rPr>
          <w:rFonts w:ascii="Arial" w:hAnsi="Arial" w:cs="Arial"/>
        </w:rPr>
        <w:t xml:space="preserve"> Draft</w:t>
      </w:r>
      <w:r w:rsidR="005A1F4B">
        <w:rPr>
          <w:rFonts w:ascii="Arial" w:hAnsi="Arial" w:cs="Arial"/>
        </w:rPr>
        <w:t xml:space="preserve"> AD</w:t>
      </w:r>
      <w:r w:rsidR="00BA3A9F">
        <w:rPr>
          <w:rFonts w:ascii="Arial" w:hAnsi="Arial" w:cs="Arial"/>
        </w:rPr>
        <w:t xml:space="preserve">P training guide developed by IDA and ADF </w:t>
      </w:r>
      <w:r w:rsidR="0021591C">
        <w:rPr>
          <w:rFonts w:ascii="Arial" w:hAnsi="Arial" w:cs="Arial"/>
        </w:rPr>
        <w:t xml:space="preserve">and will </w:t>
      </w:r>
      <w:r w:rsidRPr="001462D4">
        <w:rPr>
          <w:rFonts w:ascii="Arial" w:hAnsi="Arial" w:cs="Arial"/>
        </w:rPr>
        <w:t>combin</w:t>
      </w:r>
      <w:r w:rsidR="004B55F2">
        <w:rPr>
          <w:rFonts w:ascii="Arial" w:hAnsi="Arial" w:cs="Arial"/>
        </w:rPr>
        <w:t>e</w:t>
      </w:r>
      <w:r w:rsidRPr="001462D4">
        <w:rPr>
          <w:rFonts w:ascii="Arial" w:hAnsi="Arial" w:cs="Arial"/>
        </w:rPr>
        <w:t xml:space="preserve"> online learning components and in-person training.</w:t>
      </w:r>
    </w:p>
    <w:p w14:paraId="78056928" w14:textId="77777777" w:rsidR="00EA610A" w:rsidRPr="001462D4" w:rsidRDefault="00EA610A" w:rsidP="00A942A5">
      <w:pPr>
        <w:rPr>
          <w:rFonts w:ascii="Arial" w:hAnsi="Arial" w:cs="Arial"/>
        </w:rPr>
      </w:pPr>
    </w:p>
    <w:p w14:paraId="6449BA6F" w14:textId="77777777" w:rsidR="00EA610A" w:rsidRPr="001462D4" w:rsidRDefault="00EA610A" w:rsidP="00A942A5">
      <w:pPr>
        <w:rPr>
          <w:rFonts w:ascii="Arial" w:hAnsi="Arial" w:cs="Arial"/>
        </w:rPr>
      </w:pPr>
    </w:p>
    <w:p w14:paraId="540AAC42" w14:textId="1B997EE8" w:rsidR="00980C8F" w:rsidRPr="001462D4" w:rsidRDefault="000A6FDF" w:rsidP="00EA610A">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lastRenderedPageBreak/>
        <w:t>3</w:t>
      </w:r>
      <w:r w:rsidR="00424AE1" w:rsidRPr="001462D4">
        <w:rPr>
          <w:rFonts w:ascii="Arial" w:eastAsiaTheme="majorEastAsia" w:hAnsi="Arial" w:cs="Arial"/>
          <w:b/>
          <w:bCs/>
          <w:color w:val="4F81BD" w:themeColor="accent1"/>
          <w:sz w:val="26"/>
          <w:szCs w:val="26"/>
        </w:rPr>
        <w:t xml:space="preserve">. </w:t>
      </w:r>
      <w:r w:rsidR="009F1895" w:rsidRPr="001462D4">
        <w:rPr>
          <w:rFonts w:ascii="Arial" w:eastAsiaTheme="majorEastAsia" w:hAnsi="Arial" w:cs="Arial"/>
          <w:b/>
          <w:bCs/>
          <w:color w:val="4F81BD" w:themeColor="accent1"/>
          <w:sz w:val="26"/>
          <w:szCs w:val="26"/>
        </w:rPr>
        <w:t>Objective</w:t>
      </w:r>
      <w:r w:rsidR="00424AE1" w:rsidRPr="001462D4">
        <w:rPr>
          <w:rFonts w:ascii="Arial" w:eastAsiaTheme="majorEastAsia" w:hAnsi="Arial" w:cs="Arial"/>
          <w:b/>
          <w:bCs/>
          <w:color w:val="4F81BD" w:themeColor="accent1"/>
          <w:sz w:val="26"/>
          <w:szCs w:val="26"/>
        </w:rPr>
        <w:t xml:space="preserve"> of the Assignment</w:t>
      </w:r>
    </w:p>
    <w:p w14:paraId="387F3013" w14:textId="52388990" w:rsidR="00980C8F" w:rsidRPr="001462D4" w:rsidRDefault="00980C8F" w:rsidP="00D37725">
      <w:pPr>
        <w:jc w:val="both"/>
        <w:rPr>
          <w:rFonts w:ascii="Arial" w:hAnsi="Arial" w:cs="Arial"/>
        </w:rPr>
      </w:pPr>
      <w:r w:rsidRPr="001462D4">
        <w:rPr>
          <w:rFonts w:ascii="Arial" w:hAnsi="Arial" w:cs="Arial"/>
        </w:rPr>
        <w:t>The objective of this consultancy is to design a comprehensive, accessible, and youth-friendly Training of Trainers (</w:t>
      </w:r>
      <w:proofErr w:type="spellStart"/>
      <w:r w:rsidRPr="001462D4">
        <w:rPr>
          <w:rFonts w:ascii="Arial" w:hAnsi="Arial" w:cs="Arial"/>
        </w:rPr>
        <w:t>ToT</w:t>
      </w:r>
      <w:proofErr w:type="spellEnd"/>
      <w:r w:rsidRPr="001462D4">
        <w:rPr>
          <w:rFonts w:ascii="Arial" w:hAnsi="Arial" w:cs="Arial"/>
        </w:rPr>
        <w:t xml:space="preserve">) </w:t>
      </w:r>
      <w:proofErr w:type="spellStart"/>
      <w:r w:rsidR="00061124">
        <w:rPr>
          <w:rFonts w:ascii="Arial" w:hAnsi="Arial" w:cs="Arial"/>
        </w:rPr>
        <w:t>materals</w:t>
      </w:r>
      <w:proofErr w:type="spellEnd"/>
      <w:r w:rsidRPr="001462D4">
        <w:rPr>
          <w:rFonts w:ascii="Arial" w:hAnsi="Arial" w:cs="Arial"/>
        </w:rPr>
        <w:t xml:space="preserve"> that equips youth with disabilities with knowledge, facilitation skills, and advocacy tools to deliver training on the CRPD, the African Disability Protocol, and Agenda 2063.</w:t>
      </w:r>
    </w:p>
    <w:p w14:paraId="0264296A" w14:textId="77777777" w:rsidR="00980C8F" w:rsidRPr="001462D4" w:rsidRDefault="00980C8F" w:rsidP="00D37725">
      <w:pPr>
        <w:jc w:val="both"/>
        <w:rPr>
          <w:rFonts w:ascii="Arial" w:hAnsi="Arial" w:cs="Arial"/>
        </w:rPr>
      </w:pPr>
      <w:r w:rsidRPr="001462D4">
        <w:rPr>
          <w:rFonts w:ascii="Arial" w:hAnsi="Arial" w:cs="Arial"/>
        </w:rPr>
        <w:t>The module should enable trained youth leaders to replicate the training at national and community levels.</w:t>
      </w:r>
    </w:p>
    <w:p w14:paraId="0832D4BC" w14:textId="77777777" w:rsidR="00BB27DB" w:rsidRPr="001462D4" w:rsidRDefault="00BB27DB">
      <w:pPr>
        <w:spacing w:after="120"/>
        <w:rPr>
          <w:rFonts w:ascii="Arial" w:hAnsi="Arial" w:cs="Arial"/>
        </w:rPr>
      </w:pPr>
    </w:p>
    <w:p w14:paraId="2250250E" w14:textId="0F63F921" w:rsidR="00DD4343" w:rsidRPr="001462D4" w:rsidRDefault="00151314" w:rsidP="00823E03">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4</w:t>
      </w:r>
      <w:r w:rsidR="00424AE1" w:rsidRPr="001462D4">
        <w:rPr>
          <w:rFonts w:ascii="Arial" w:eastAsiaTheme="majorEastAsia" w:hAnsi="Arial" w:cs="Arial"/>
          <w:b/>
          <w:bCs/>
          <w:color w:val="4F81BD" w:themeColor="accent1"/>
          <w:sz w:val="26"/>
          <w:szCs w:val="26"/>
        </w:rPr>
        <w:t>. Scope of Work</w:t>
      </w:r>
    </w:p>
    <w:p w14:paraId="346CE49C" w14:textId="4D46AB2A" w:rsidR="008D1878" w:rsidRPr="001462D4" w:rsidRDefault="008D1878" w:rsidP="00151314">
      <w:pPr>
        <w:jc w:val="both"/>
        <w:rPr>
          <w:rFonts w:ascii="Arial" w:hAnsi="Arial" w:cs="Arial"/>
        </w:rPr>
      </w:pPr>
      <w:r w:rsidRPr="001462D4">
        <w:rPr>
          <w:rFonts w:ascii="Arial" w:hAnsi="Arial" w:cs="Arial"/>
        </w:rPr>
        <w:t xml:space="preserve">The consultant will </w:t>
      </w:r>
      <w:r w:rsidR="00216742">
        <w:rPr>
          <w:rFonts w:ascii="Arial" w:hAnsi="Arial" w:cs="Arial"/>
        </w:rPr>
        <w:t xml:space="preserve">develop the </w:t>
      </w:r>
      <w:proofErr w:type="spellStart"/>
      <w:r w:rsidR="00216742">
        <w:rPr>
          <w:rFonts w:ascii="Arial" w:hAnsi="Arial" w:cs="Arial"/>
        </w:rPr>
        <w:t>ToT</w:t>
      </w:r>
      <w:proofErr w:type="spellEnd"/>
      <w:r w:rsidR="00C23027">
        <w:rPr>
          <w:rFonts w:ascii="Arial" w:hAnsi="Arial" w:cs="Arial"/>
        </w:rPr>
        <w:t xml:space="preserve"> materials</w:t>
      </w:r>
      <w:r w:rsidR="00216742">
        <w:rPr>
          <w:rFonts w:ascii="Arial" w:hAnsi="Arial" w:cs="Arial"/>
        </w:rPr>
        <w:t xml:space="preserve"> based on</w:t>
      </w:r>
      <w:r w:rsidRPr="001462D4">
        <w:rPr>
          <w:rFonts w:ascii="Arial" w:hAnsi="Arial" w:cs="Arial"/>
        </w:rPr>
        <w:t xml:space="preserve"> the draft ADP training guideline and relevant documentation including CRPD, ADP, Agenda 2063, and existing disability rights training materials.</w:t>
      </w:r>
    </w:p>
    <w:p w14:paraId="508B073E" w14:textId="77777777" w:rsidR="008D1878" w:rsidRPr="001462D4" w:rsidRDefault="008D1878" w:rsidP="00151314">
      <w:pPr>
        <w:jc w:val="both"/>
        <w:rPr>
          <w:rFonts w:ascii="Arial" w:hAnsi="Arial" w:cs="Arial"/>
        </w:rPr>
      </w:pPr>
      <w:r w:rsidRPr="001462D4">
        <w:rPr>
          <w:rFonts w:ascii="Arial" w:hAnsi="Arial" w:cs="Arial"/>
        </w:rPr>
        <w:t>The consultant will design an inclusive and participatory training methodology using adult learning principles, peer learning, and interactive approaches such as group work, case studies, role play, and advocacy simulations.</w:t>
      </w:r>
    </w:p>
    <w:p w14:paraId="00A1B5CF" w14:textId="3431F71A" w:rsidR="008D1878" w:rsidRPr="001462D4" w:rsidRDefault="008D1878" w:rsidP="00151314">
      <w:pPr>
        <w:jc w:val="both"/>
        <w:rPr>
          <w:rFonts w:ascii="Arial" w:hAnsi="Arial" w:cs="Arial"/>
        </w:rPr>
      </w:pPr>
      <w:r w:rsidRPr="001462D4">
        <w:rPr>
          <w:rFonts w:ascii="Arial" w:hAnsi="Arial" w:cs="Arial"/>
        </w:rPr>
        <w:t xml:space="preserve">The consultant will develop a full </w:t>
      </w:r>
      <w:proofErr w:type="spellStart"/>
      <w:r w:rsidRPr="001462D4">
        <w:rPr>
          <w:rFonts w:ascii="Arial" w:hAnsi="Arial" w:cs="Arial"/>
        </w:rPr>
        <w:t>ToT</w:t>
      </w:r>
      <w:proofErr w:type="spellEnd"/>
      <w:r w:rsidRPr="001462D4">
        <w:rPr>
          <w:rFonts w:ascii="Arial" w:hAnsi="Arial" w:cs="Arial"/>
        </w:rPr>
        <w:t xml:space="preserve"> curriculum including </w:t>
      </w:r>
      <w:r w:rsidR="00E62842">
        <w:rPr>
          <w:rFonts w:ascii="Arial" w:hAnsi="Arial" w:cs="Arial"/>
        </w:rPr>
        <w:t xml:space="preserve">agenda, </w:t>
      </w:r>
      <w:r w:rsidRPr="001462D4">
        <w:rPr>
          <w:rFonts w:ascii="Arial" w:hAnsi="Arial" w:cs="Arial"/>
        </w:rPr>
        <w:t>detailed session plans, learning objectives,</w:t>
      </w:r>
      <w:r w:rsidR="0006142A">
        <w:rPr>
          <w:rFonts w:ascii="Arial" w:hAnsi="Arial" w:cs="Arial"/>
        </w:rPr>
        <w:t xml:space="preserve"> </w:t>
      </w:r>
      <w:r w:rsidRPr="001462D4">
        <w:rPr>
          <w:rFonts w:ascii="Arial" w:hAnsi="Arial" w:cs="Arial"/>
        </w:rPr>
        <w:t>facilitation guidance</w:t>
      </w:r>
      <w:r w:rsidR="00E62842">
        <w:rPr>
          <w:rFonts w:ascii="Arial" w:hAnsi="Arial" w:cs="Arial"/>
        </w:rPr>
        <w:t>, power points</w:t>
      </w:r>
      <w:r w:rsidR="00417ABE">
        <w:rPr>
          <w:rFonts w:ascii="Arial" w:hAnsi="Arial" w:cs="Arial"/>
        </w:rPr>
        <w:t>, exercis</w:t>
      </w:r>
      <w:r w:rsidR="004C56A6">
        <w:rPr>
          <w:rFonts w:ascii="Arial" w:hAnsi="Arial" w:cs="Arial"/>
        </w:rPr>
        <w:t xml:space="preserve">e </w:t>
      </w:r>
      <w:proofErr w:type="gramStart"/>
      <w:r w:rsidR="004C56A6">
        <w:rPr>
          <w:rFonts w:ascii="Arial" w:hAnsi="Arial" w:cs="Arial"/>
        </w:rPr>
        <w:t xml:space="preserve">material </w:t>
      </w:r>
      <w:r w:rsidR="00E62842">
        <w:rPr>
          <w:rFonts w:ascii="Arial" w:hAnsi="Arial" w:cs="Arial"/>
        </w:rPr>
        <w:t xml:space="preserve"> and</w:t>
      </w:r>
      <w:proofErr w:type="gramEnd"/>
      <w:r w:rsidR="00E62842">
        <w:rPr>
          <w:rFonts w:ascii="Arial" w:hAnsi="Arial" w:cs="Arial"/>
        </w:rPr>
        <w:t xml:space="preserve"> pre</w:t>
      </w:r>
      <w:r w:rsidR="00837024">
        <w:rPr>
          <w:rFonts w:ascii="Arial" w:hAnsi="Arial" w:cs="Arial"/>
        </w:rPr>
        <w:t xml:space="preserve"> and post evaluation questionnaires. </w:t>
      </w:r>
    </w:p>
    <w:p w14:paraId="56C88955" w14:textId="77777777" w:rsidR="008D1878" w:rsidRPr="001462D4" w:rsidRDefault="008D1878" w:rsidP="008D1878">
      <w:pPr>
        <w:rPr>
          <w:rFonts w:ascii="Arial" w:hAnsi="Arial" w:cs="Arial"/>
        </w:rPr>
      </w:pPr>
    </w:p>
    <w:p w14:paraId="6649787D" w14:textId="77777777" w:rsidR="008D1878" w:rsidRPr="001462D4" w:rsidRDefault="008D1878" w:rsidP="008D1878">
      <w:pPr>
        <w:rPr>
          <w:rFonts w:ascii="Arial" w:hAnsi="Arial" w:cs="Arial"/>
          <w:b/>
          <w:bCs/>
          <w:u w:val="double"/>
        </w:rPr>
      </w:pPr>
      <w:r w:rsidRPr="001462D4">
        <w:rPr>
          <w:rFonts w:ascii="Arial" w:hAnsi="Arial" w:cs="Arial"/>
          <w:b/>
          <w:bCs/>
          <w:u w:val="double"/>
        </w:rPr>
        <w:t>Indicative Modules</w:t>
      </w:r>
    </w:p>
    <w:p w14:paraId="2BA04D52" w14:textId="77777777" w:rsidR="008D1878" w:rsidRPr="001462D4" w:rsidRDefault="008D1878" w:rsidP="00823E03">
      <w:pPr>
        <w:pStyle w:val="ListParagraph"/>
        <w:numPr>
          <w:ilvl w:val="0"/>
          <w:numId w:val="14"/>
        </w:numPr>
        <w:rPr>
          <w:rFonts w:ascii="Arial" w:hAnsi="Arial" w:cs="Arial"/>
        </w:rPr>
      </w:pPr>
      <w:r w:rsidRPr="001462D4">
        <w:rPr>
          <w:rFonts w:ascii="Arial" w:hAnsi="Arial" w:cs="Arial"/>
        </w:rPr>
        <w:t>Module 1 – Introduction to Disability Rights</w:t>
      </w:r>
    </w:p>
    <w:p w14:paraId="3FC30A92" w14:textId="77777777" w:rsidR="008D1878" w:rsidRPr="001462D4" w:rsidRDefault="008D1878" w:rsidP="00823E03">
      <w:pPr>
        <w:pStyle w:val="ListParagraph"/>
        <w:numPr>
          <w:ilvl w:val="0"/>
          <w:numId w:val="14"/>
        </w:numPr>
        <w:rPr>
          <w:rFonts w:ascii="Arial" w:hAnsi="Arial" w:cs="Arial"/>
        </w:rPr>
      </w:pPr>
      <w:r w:rsidRPr="001462D4">
        <w:rPr>
          <w:rFonts w:ascii="Arial" w:hAnsi="Arial" w:cs="Arial"/>
        </w:rPr>
        <w:t>Module 2 – Convention on the Rights of Persons with Disabilities (CRPD)</w:t>
      </w:r>
    </w:p>
    <w:p w14:paraId="38795D54" w14:textId="100C2ADE" w:rsidR="008D1878" w:rsidRPr="004720F7" w:rsidRDefault="008D1878" w:rsidP="00823E03">
      <w:pPr>
        <w:pStyle w:val="ListParagraph"/>
        <w:numPr>
          <w:ilvl w:val="0"/>
          <w:numId w:val="14"/>
        </w:numPr>
        <w:rPr>
          <w:rFonts w:ascii="Arial" w:hAnsi="Arial" w:cs="Arial"/>
        </w:rPr>
      </w:pPr>
      <w:r w:rsidRPr="004720F7">
        <w:rPr>
          <w:rFonts w:ascii="Arial" w:hAnsi="Arial" w:cs="Arial"/>
        </w:rPr>
        <w:t xml:space="preserve">Module 3 – </w:t>
      </w:r>
      <w:r w:rsidR="001D7D40">
        <w:rPr>
          <w:rFonts w:ascii="Arial" w:hAnsi="Arial" w:cs="Arial"/>
        </w:rPr>
        <w:t xml:space="preserve">introduction to the </w:t>
      </w:r>
      <w:r w:rsidRPr="004720F7">
        <w:rPr>
          <w:rFonts w:ascii="Arial" w:hAnsi="Arial" w:cs="Arial"/>
        </w:rPr>
        <w:t>African Disability Protocol (ADP)</w:t>
      </w:r>
    </w:p>
    <w:p w14:paraId="3CF21D62" w14:textId="5D1E8900" w:rsidR="00B33020" w:rsidRPr="004720F7" w:rsidRDefault="00B33020" w:rsidP="00B33020">
      <w:pPr>
        <w:pStyle w:val="ListParagraph"/>
        <w:numPr>
          <w:ilvl w:val="0"/>
          <w:numId w:val="14"/>
        </w:numPr>
        <w:spacing w:after="0" w:line="240" w:lineRule="auto"/>
        <w:rPr>
          <w:rFonts w:asciiTheme="minorBidi" w:eastAsia="Times New Roman" w:hAnsiTheme="minorBidi"/>
          <w:color w:val="000000"/>
        </w:rPr>
      </w:pPr>
      <w:r w:rsidRPr="004720F7">
        <w:rPr>
          <w:rFonts w:asciiTheme="minorBidi" w:eastAsia="Times New Roman" w:hAnsiTheme="minorBidi"/>
          <w:color w:val="000000"/>
        </w:rPr>
        <w:t>Module 4: The African Union human rights system  </w:t>
      </w:r>
    </w:p>
    <w:p w14:paraId="451B9FD3" w14:textId="0A7AE79B" w:rsidR="00B33020" w:rsidRPr="004720F7" w:rsidRDefault="00B33020" w:rsidP="00B33020">
      <w:pPr>
        <w:pStyle w:val="ListParagraph"/>
        <w:numPr>
          <w:ilvl w:val="0"/>
          <w:numId w:val="14"/>
        </w:numPr>
        <w:spacing w:after="0" w:line="240" w:lineRule="auto"/>
        <w:rPr>
          <w:rFonts w:asciiTheme="minorBidi" w:eastAsia="Times New Roman" w:hAnsiTheme="minorBidi"/>
          <w:color w:val="000000"/>
        </w:rPr>
      </w:pPr>
      <w:r w:rsidRPr="004720F7">
        <w:rPr>
          <w:rFonts w:asciiTheme="minorBidi" w:eastAsia="Times New Roman" w:hAnsiTheme="minorBidi"/>
          <w:color w:val="000000"/>
        </w:rPr>
        <w:t xml:space="preserve">Module 5: Civil and political rights under ADP </w:t>
      </w:r>
    </w:p>
    <w:p w14:paraId="5E5D8919" w14:textId="293CBC38" w:rsidR="00B33020" w:rsidRPr="004720F7" w:rsidRDefault="00B33020" w:rsidP="00B33020">
      <w:pPr>
        <w:pStyle w:val="ListParagraph"/>
        <w:numPr>
          <w:ilvl w:val="0"/>
          <w:numId w:val="14"/>
        </w:numPr>
        <w:spacing w:after="0" w:line="240" w:lineRule="auto"/>
        <w:rPr>
          <w:rFonts w:asciiTheme="minorBidi" w:eastAsia="Times New Roman" w:hAnsiTheme="minorBidi"/>
          <w:color w:val="000000"/>
        </w:rPr>
      </w:pPr>
      <w:r w:rsidRPr="004720F7">
        <w:rPr>
          <w:rFonts w:asciiTheme="minorBidi" w:eastAsia="Times New Roman" w:hAnsiTheme="minorBidi"/>
          <w:color w:val="000000"/>
        </w:rPr>
        <w:t xml:space="preserve">Module 6: Economic, Social and Cultural rights under ADP </w:t>
      </w:r>
    </w:p>
    <w:p w14:paraId="42FB3CCE" w14:textId="5B8B165C" w:rsidR="00B33020" w:rsidRPr="004720F7" w:rsidRDefault="00B33020" w:rsidP="00B33020">
      <w:pPr>
        <w:pStyle w:val="ListParagraph"/>
        <w:numPr>
          <w:ilvl w:val="0"/>
          <w:numId w:val="14"/>
        </w:numPr>
        <w:spacing w:after="0" w:line="240" w:lineRule="auto"/>
        <w:rPr>
          <w:rFonts w:asciiTheme="minorBidi" w:eastAsia="Times New Roman" w:hAnsiTheme="minorBidi"/>
          <w:color w:val="000000"/>
        </w:rPr>
      </w:pPr>
      <w:r w:rsidRPr="004720F7">
        <w:rPr>
          <w:rFonts w:asciiTheme="minorBidi" w:eastAsia="Times New Roman" w:hAnsiTheme="minorBidi"/>
          <w:color w:val="000000"/>
        </w:rPr>
        <w:t xml:space="preserve">Module 7: Intersectionality in ADP </w:t>
      </w:r>
    </w:p>
    <w:p w14:paraId="22FE34A3" w14:textId="759D7831" w:rsidR="008D1878" w:rsidRPr="004720F7" w:rsidRDefault="008D1878" w:rsidP="00823E03">
      <w:pPr>
        <w:pStyle w:val="ListParagraph"/>
        <w:numPr>
          <w:ilvl w:val="0"/>
          <w:numId w:val="14"/>
        </w:numPr>
        <w:rPr>
          <w:rFonts w:asciiTheme="minorBidi" w:hAnsiTheme="minorBidi"/>
        </w:rPr>
      </w:pPr>
      <w:r w:rsidRPr="004720F7">
        <w:rPr>
          <w:rFonts w:asciiTheme="minorBidi" w:hAnsiTheme="minorBidi"/>
        </w:rPr>
        <w:t xml:space="preserve">Module </w:t>
      </w:r>
      <w:r w:rsidR="009C1481">
        <w:rPr>
          <w:rFonts w:asciiTheme="minorBidi" w:hAnsiTheme="minorBidi"/>
        </w:rPr>
        <w:t>8</w:t>
      </w:r>
      <w:r w:rsidRPr="004720F7">
        <w:rPr>
          <w:rFonts w:asciiTheme="minorBidi" w:hAnsiTheme="minorBidi"/>
        </w:rPr>
        <w:t xml:space="preserve"> – Agenda 2063 and Disability Inclusion</w:t>
      </w:r>
    </w:p>
    <w:p w14:paraId="0D3611E2" w14:textId="4C5E3034" w:rsidR="008D1878" w:rsidRPr="004720F7" w:rsidRDefault="008D1878" w:rsidP="00823E03">
      <w:pPr>
        <w:pStyle w:val="ListParagraph"/>
        <w:numPr>
          <w:ilvl w:val="0"/>
          <w:numId w:val="14"/>
        </w:numPr>
        <w:rPr>
          <w:rFonts w:asciiTheme="minorBidi" w:hAnsiTheme="minorBidi"/>
        </w:rPr>
      </w:pPr>
      <w:r w:rsidRPr="004720F7">
        <w:rPr>
          <w:rFonts w:asciiTheme="minorBidi" w:hAnsiTheme="minorBidi"/>
        </w:rPr>
        <w:t xml:space="preserve">Module </w:t>
      </w:r>
      <w:r w:rsidR="009C1481">
        <w:rPr>
          <w:rFonts w:asciiTheme="minorBidi" w:hAnsiTheme="minorBidi"/>
        </w:rPr>
        <w:t>9</w:t>
      </w:r>
      <w:r w:rsidRPr="004720F7">
        <w:rPr>
          <w:rFonts w:asciiTheme="minorBidi" w:hAnsiTheme="minorBidi"/>
        </w:rPr>
        <w:t>– Advocacy and Policy Engagement</w:t>
      </w:r>
    </w:p>
    <w:p w14:paraId="6E58B535" w14:textId="54EAA14A" w:rsidR="008D1878" w:rsidRPr="001462D4" w:rsidRDefault="008D1878" w:rsidP="00823E03">
      <w:pPr>
        <w:pStyle w:val="ListParagraph"/>
        <w:numPr>
          <w:ilvl w:val="0"/>
          <w:numId w:val="14"/>
        </w:numPr>
        <w:rPr>
          <w:rFonts w:ascii="Arial" w:hAnsi="Arial" w:cs="Arial"/>
        </w:rPr>
      </w:pPr>
      <w:r w:rsidRPr="004720F7">
        <w:rPr>
          <w:rFonts w:ascii="Arial" w:hAnsi="Arial" w:cs="Arial"/>
        </w:rPr>
        <w:t xml:space="preserve">Module </w:t>
      </w:r>
      <w:r w:rsidR="00B33020" w:rsidRPr="004720F7">
        <w:rPr>
          <w:rFonts w:ascii="Arial" w:hAnsi="Arial" w:cs="Arial"/>
        </w:rPr>
        <w:t>1</w:t>
      </w:r>
      <w:r w:rsidR="009C1481">
        <w:rPr>
          <w:rFonts w:ascii="Arial" w:hAnsi="Arial" w:cs="Arial"/>
        </w:rPr>
        <w:t>0</w:t>
      </w:r>
      <w:r w:rsidRPr="004720F7">
        <w:rPr>
          <w:rFonts w:ascii="Arial" w:hAnsi="Arial" w:cs="Arial"/>
        </w:rPr>
        <w:t xml:space="preserve"> –</w:t>
      </w:r>
      <w:r w:rsidRPr="001462D4">
        <w:rPr>
          <w:rFonts w:ascii="Arial" w:hAnsi="Arial" w:cs="Arial"/>
        </w:rPr>
        <w:t xml:space="preserve"> Training and Facilitation Skills</w:t>
      </w:r>
      <w:r w:rsidR="00313777">
        <w:rPr>
          <w:rFonts w:ascii="Arial" w:hAnsi="Arial" w:cs="Arial"/>
        </w:rPr>
        <w:t xml:space="preserve"> and practice</w:t>
      </w:r>
    </w:p>
    <w:p w14:paraId="71952B61" w14:textId="27DBD02B" w:rsidR="00C42841" w:rsidRPr="00C42841" w:rsidRDefault="00C42841" w:rsidP="00C42841">
      <w:pPr>
        <w:rPr>
          <w:rFonts w:ascii="Arial" w:hAnsi="Arial" w:cs="Arial"/>
        </w:rPr>
      </w:pPr>
    </w:p>
    <w:p w14:paraId="1BC3215A" w14:textId="5C24AF89" w:rsidR="009A104B" w:rsidRPr="009A104B" w:rsidRDefault="008368E4" w:rsidP="006D66CD">
      <w:pPr>
        <w:rPr>
          <w:rFonts w:ascii="Arial" w:hAnsi="Arial" w:cs="Arial"/>
        </w:rPr>
      </w:pPr>
      <w:r>
        <w:rPr>
          <w:rFonts w:ascii="Arial" w:hAnsi="Arial" w:cs="Arial"/>
        </w:rPr>
        <w:t xml:space="preserve">The </w:t>
      </w:r>
      <w:r w:rsidR="00417ABE">
        <w:rPr>
          <w:rFonts w:ascii="Arial" w:hAnsi="Arial" w:cs="Arial"/>
        </w:rPr>
        <w:t xml:space="preserve">in-person </w:t>
      </w:r>
      <w:r>
        <w:rPr>
          <w:rFonts w:ascii="Arial" w:hAnsi="Arial" w:cs="Arial"/>
        </w:rPr>
        <w:t xml:space="preserve">Training should be around </w:t>
      </w:r>
      <w:r w:rsidR="006D66CD">
        <w:rPr>
          <w:rFonts w:ascii="Arial" w:hAnsi="Arial" w:cs="Arial"/>
        </w:rPr>
        <w:t>5</w:t>
      </w:r>
      <w:r w:rsidR="00C8059F">
        <w:rPr>
          <w:rFonts w:ascii="Arial" w:hAnsi="Arial" w:cs="Arial"/>
        </w:rPr>
        <w:t xml:space="preserve"> days </w:t>
      </w:r>
    </w:p>
    <w:p w14:paraId="12EAE4E6" w14:textId="77777777" w:rsidR="00A45B00" w:rsidRPr="001462D4" w:rsidRDefault="00A45B00" w:rsidP="008D1878">
      <w:pPr>
        <w:rPr>
          <w:rFonts w:ascii="Arial" w:hAnsi="Arial" w:cs="Arial"/>
        </w:rPr>
      </w:pPr>
    </w:p>
    <w:p w14:paraId="4F1F05E9" w14:textId="05B94585" w:rsidR="00A45B00" w:rsidRPr="001462D4" w:rsidRDefault="00A45B00" w:rsidP="007F1649">
      <w:pPr>
        <w:pStyle w:val="ListParagraph"/>
        <w:numPr>
          <w:ilvl w:val="0"/>
          <w:numId w:val="15"/>
        </w:numPr>
        <w:rPr>
          <w:rFonts w:ascii="Arial" w:hAnsi="Arial" w:cs="Arial"/>
          <w:b/>
          <w:bCs/>
        </w:rPr>
      </w:pPr>
      <w:r w:rsidRPr="001462D4">
        <w:rPr>
          <w:rFonts w:ascii="Arial" w:hAnsi="Arial" w:cs="Arial"/>
          <w:b/>
          <w:bCs/>
        </w:rPr>
        <w:t>Development of an Online Training Component</w:t>
      </w:r>
    </w:p>
    <w:p w14:paraId="74328D77" w14:textId="6532D3BE" w:rsidR="00A45B00" w:rsidRPr="001462D4" w:rsidRDefault="00A45B00" w:rsidP="00151314">
      <w:pPr>
        <w:jc w:val="both"/>
        <w:rPr>
          <w:rFonts w:ascii="Arial" w:hAnsi="Arial" w:cs="Arial"/>
        </w:rPr>
      </w:pPr>
      <w:r w:rsidRPr="001462D4">
        <w:rPr>
          <w:rFonts w:ascii="Arial" w:hAnsi="Arial" w:cs="Arial"/>
        </w:rPr>
        <w:lastRenderedPageBreak/>
        <w:t xml:space="preserve">The consultant must integrate an online learning component within the </w:t>
      </w:r>
      <w:proofErr w:type="spellStart"/>
      <w:r w:rsidRPr="001462D4">
        <w:rPr>
          <w:rFonts w:ascii="Arial" w:hAnsi="Arial" w:cs="Arial"/>
        </w:rPr>
        <w:t>ToT</w:t>
      </w:r>
      <w:proofErr w:type="spellEnd"/>
      <w:r w:rsidRPr="001462D4">
        <w:rPr>
          <w:rFonts w:ascii="Arial" w:hAnsi="Arial" w:cs="Arial"/>
        </w:rPr>
        <w:t xml:space="preserve">. This should </w:t>
      </w:r>
      <w:r w:rsidR="00D542C9">
        <w:rPr>
          <w:rFonts w:ascii="Arial" w:hAnsi="Arial" w:cs="Arial"/>
        </w:rPr>
        <w:t xml:space="preserve">be in-line with the </w:t>
      </w:r>
      <w:r w:rsidR="00E57842">
        <w:rPr>
          <w:rFonts w:ascii="Arial" w:hAnsi="Arial" w:cs="Arial"/>
        </w:rPr>
        <w:t>in-person training repre</w:t>
      </w:r>
      <w:r w:rsidR="009E359A">
        <w:rPr>
          <w:rFonts w:ascii="Arial" w:hAnsi="Arial" w:cs="Arial"/>
        </w:rPr>
        <w:t>sen</w:t>
      </w:r>
      <w:r w:rsidR="00E57842">
        <w:rPr>
          <w:rFonts w:ascii="Arial" w:hAnsi="Arial" w:cs="Arial"/>
        </w:rPr>
        <w:t xml:space="preserve">ting introduction to each module. </w:t>
      </w:r>
      <w:r w:rsidR="00D542C9">
        <w:rPr>
          <w:rFonts w:ascii="Arial" w:hAnsi="Arial" w:cs="Arial"/>
        </w:rPr>
        <w:t xml:space="preserve"> </w:t>
      </w:r>
      <w:r w:rsidR="009E359A">
        <w:rPr>
          <w:rFonts w:ascii="Arial" w:hAnsi="Arial" w:cs="Arial"/>
        </w:rPr>
        <w:t>It should include</w:t>
      </w:r>
      <w:r w:rsidRPr="001462D4">
        <w:rPr>
          <w:rFonts w:ascii="Arial" w:hAnsi="Arial" w:cs="Arial"/>
        </w:rPr>
        <w:t xml:space="preserve"> interactive online sessions, and post-training mentoring or community of practice.</w:t>
      </w:r>
    </w:p>
    <w:p w14:paraId="5269F58E" w14:textId="77777777" w:rsidR="00A45B00" w:rsidRPr="001462D4" w:rsidRDefault="00A45B00" w:rsidP="00151314">
      <w:pPr>
        <w:jc w:val="both"/>
        <w:rPr>
          <w:rFonts w:ascii="Arial" w:hAnsi="Arial" w:cs="Arial"/>
        </w:rPr>
      </w:pPr>
      <w:r w:rsidRPr="001462D4">
        <w:rPr>
          <w:rFonts w:ascii="Arial" w:hAnsi="Arial" w:cs="Arial"/>
        </w:rPr>
        <w:t>The online component should expand accessibility, support continued learning, and facilitate replication of the training.</w:t>
      </w:r>
    </w:p>
    <w:p w14:paraId="45FE3502" w14:textId="77777777" w:rsidR="00A45B00" w:rsidRPr="001462D4" w:rsidRDefault="00A45B00" w:rsidP="00A45B00">
      <w:pPr>
        <w:rPr>
          <w:rFonts w:ascii="Arial" w:hAnsi="Arial" w:cs="Arial"/>
        </w:rPr>
      </w:pPr>
    </w:p>
    <w:p w14:paraId="44446132" w14:textId="33ADB8E5" w:rsidR="00A45B00" w:rsidRPr="001462D4" w:rsidRDefault="00A45B00" w:rsidP="00A838AE">
      <w:pPr>
        <w:pStyle w:val="ListParagraph"/>
        <w:numPr>
          <w:ilvl w:val="0"/>
          <w:numId w:val="15"/>
        </w:numPr>
        <w:rPr>
          <w:rFonts w:ascii="Arial" w:hAnsi="Arial" w:cs="Arial"/>
          <w:b/>
          <w:bCs/>
        </w:rPr>
      </w:pPr>
      <w:r w:rsidRPr="001462D4">
        <w:rPr>
          <w:rFonts w:ascii="Arial" w:hAnsi="Arial" w:cs="Arial"/>
          <w:b/>
          <w:bCs/>
        </w:rPr>
        <w:t>Accessibility and Inclusion Standards</w:t>
      </w:r>
    </w:p>
    <w:p w14:paraId="4315006A" w14:textId="76BBFB1A" w:rsidR="000E36DF" w:rsidRPr="001462D4" w:rsidRDefault="00A45B00" w:rsidP="00151314">
      <w:pPr>
        <w:jc w:val="both"/>
        <w:rPr>
          <w:rFonts w:ascii="Arial" w:hAnsi="Arial" w:cs="Arial"/>
        </w:rPr>
      </w:pPr>
      <w:r w:rsidRPr="001462D4">
        <w:rPr>
          <w:rFonts w:ascii="Arial" w:hAnsi="Arial" w:cs="Arial"/>
        </w:rPr>
        <w:t>All training materials must be accessible to persons with disabilities. Materials should be screen-reader compatible, use clear language, include captions for videos where applicable, and incorporate inclusive facilitation practices.</w:t>
      </w:r>
    </w:p>
    <w:p w14:paraId="3025C2D7" w14:textId="2BAC318A" w:rsidR="00DD4343" w:rsidRPr="001462D4" w:rsidRDefault="00151314" w:rsidP="00E97220">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5</w:t>
      </w:r>
      <w:r w:rsidR="00AF0636" w:rsidRPr="001462D4">
        <w:rPr>
          <w:rFonts w:ascii="Arial" w:eastAsiaTheme="majorEastAsia" w:hAnsi="Arial" w:cs="Arial"/>
          <w:b/>
          <w:bCs/>
          <w:color w:val="4F81BD" w:themeColor="accent1"/>
          <w:sz w:val="26"/>
          <w:szCs w:val="26"/>
        </w:rPr>
        <w:t>. D</w:t>
      </w:r>
      <w:r w:rsidR="00424AE1" w:rsidRPr="001462D4">
        <w:rPr>
          <w:rFonts w:ascii="Arial" w:eastAsiaTheme="majorEastAsia" w:hAnsi="Arial" w:cs="Arial"/>
          <w:b/>
          <w:bCs/>
          <w:color w:val="4F81BD" w:themeColor="accent1"/>
          <w:sz w:val="26"/>
          <w:szCs w:val="26"/>
        </w:rPr>
        <w:t>eliverables</w:t>
      </w:r>
    </w:p>
    <w:p w14:paraId="1984C47C" w14:textId="77777777" w:rsidR="004719C0" w:rsidRPr="001462D4" w:rsidRDefault="004719C0" w:rsidP="002D43CE">
      <w:pPr>
        <w:jc w:val="both"/>
        <w:rPr>
          <w:rFonts w:ascii="Arial" w:hAnsi="Arial" w:cs="Arial"/>
        </w:rPr>
      </w:pPr>
      <w:r w:rsidRPr="001462D4">
        <w:rPr>
          <w:rFonts w:ascii="Arial" w:hAnsi="Arial" w:cs="Arial"/>
        </w:rPr>
        <w:t>1. Inception report including methodology and work plan.</w:t>
      </w:r>
    </w:p>
    <w:p w14:paraId="15727C87" w14:textId="1A905F00" w:rsidR="004719C0" w:rsidRPr="001462D4" w:rsidRDefault="004719C0" w:rsidP="002D43CE">
      <w:pPr>
        <w:jc w:val="both"/>
        <w:rPr>
          <w:rFonts w:ascii="Arial" w:hAnsi="Arial" w:cs="Arial"/>
        </w:rPr>
      </w:pPr>
      <w:r w:rsidRPr="001462D4">
        <w:rPr>
          <w:rFonts w:ascii="Arial" w:hAnsi="Arial" w:cs="Arial"/>
        </w:rPr>
        <w:t>2. Draft training package including curriculum and session plans</w:t>
      </w:r>
      <w:r w:rsidR="00A64AAB">
        <w:rPr>
          <w:rFonts w:ascii="Arial" w:hAnsi="Arial" w:cs="Arial"/>
        </w:rPr>
        <w:t xml:space="preserve"> </w:t>
      </w:r>
      <w:r w:rsidR="006F014B">
        <w:rPr>
          <w:rFonts w:ascii="Arial" w:hAnsi="Arial" w:cs="Arial"/>
        </w:rPr>
        <w:t xml:space="preserve">and methodology </w:t>
      </w:r>
      <w:r w:rsidR="00A64AAB">
        <w:rPr>
          <w:rFonts w:ascii="Arial" w:hAnsi="Arial" w:cs="Arial"/>
        </w:rPr>
        <w:t xml:space="preserve">for online </w:t>
      </w:r>
      <w:r w:rsidR="00017DB0">
        <w:rPr>
          <w:rFonts w:ascii="Arial" w:hAnsi="Arial" w:cs="Arial"/>
        </w:rPr>
        <w:t>and in-person component</w:t>
      </w:r>
      <w:r w:rsidR="0066512C">
        <w:rPr>
          <w:rFonts w:ascii="Arial" w:hAnsi="Arial" w:cs="Arial"/>
        </w:rPr>
        <w:t>s</w:t>
      </w:r>
      <w:r w:rsidR="00017DB0">
        <w:rPr>
          <w:rFonts w:ascii="Arial" w:hAnsi="Arial" w:cs="Arial"/>
        </w:rPr>
        <w:t xml:space="preserve"> </w:t>
      </w:r>
    </w:p>
    <w:p w14:paraId="641FF25A" w14:textId="174D4B04" w:rsidR="004719C0" w:rsidRPr="001462D4" w:rsidRDefault="004719C0" w:rsidP="002D43CE">
      <w:pPr>
        <w:jc w:val="both"/>
        <w:rPr>
          <w:rFonts w:ascii="Arial" w:hAnsi="Arial" w:cs="Arial"/>
        </w:rPr>
      </w:pPr>
      <w:r w:rsidRPr="001462D4">
        <w:rPr>
          <w:rFonts w:ascii="Arial" w:hAnsi="Arial" w:cs="Arial"/>
        </w:rPr>
        <w:t xml:space="preserve">3. Final training package including </w:t>
      </w:r>
      <w:r w:rsidR="003012BF">
        <w:rPr>
          <w:rFonts w:ascii="Arial" w:hAnsi="Arial" w:cs="Arial"/>
        </w:rPr>
        <w:t>agenda,</w:t>
      </w:r>
      <w:r w:rsidR="00925BAA">
        <w:rPr>
          <w:rFonts w:ascii="Arial" w:hAnsi="Arial" w:cs="Arial"/>
        </w:rPr>
        <w:t xml:space="preserve"> </w:t>
      </w:r>
      <w:r w:rsidRPr="001462D4">
        <w:rPr>
          <w:rFonts w:ascii="Arial" w:hAnsi="Arial" w:cs="Arial"/>
        </w:rPr>
        <w:t xml:space="preserve">facilitator </w:t>
      </w:r>
      <w:r w:rsidR="004C56A6">
        <w:rPr>
          <w:rFonts w:ascii="Arial" w:hAnsi="Arial" w:cs="Arial"/>
        </w:rPr>
        <w:t>methodology guide</w:t>
      </w:r>
      <w:r w:rsidRPr="001462D4">
        <w:rPr>
          <w:rFonts w:ascii="Arial" w:hAnsi="Arial" w:cs="Arial"/>
        </w:rPr>
        <w:t xml:space="preserve">, participant handbook, </w:t>
      </w:r>
      <w:r w:rsidR="004C56A6">
        <w:rPr>
          <w:rFonts w:ascii="Arial" w:hAnsi="Arial" w:cs="Arial"/>
        </w:rPr>
        <w:t xml:space="preserve">power point </w:t>
      </w:r>
      <w:r w:rsidRPr="001462D4">
        <w:rPr>
          <w:rFonts w:ascii="Arial" w:hAnsi="Arial" w:cs="Arial"/>
        </w:rPr>
        <w:t>presentations, exercises, evaluation tools</w:t>
      </w:r>
      <w:r w:rsidR="00413B55">
        <w:rPr>
          <w:rFonts w:ascii="Arial" w:hAnsi="Arial" w:cs="Arial"/>
        </w:rPr>
        <w:t xml:space="preserve"> for</w:t>
      </w:r>
      <w:r w:rsidRPr="001462D4">
        <w:rPr>
          <w:rFonts w:ascii="Arial" w:hAnsi="Arial" w:cs="Arial"/>
        </w:rPr>
        <w:t xml:space="preserve"> onlin</w:t>
      </w:r>
      <w:r w:rsidR="00413B55">
        <w:rPr>
          <w:rFonts w:ascii="Arial" w:hAnsi="Arial" w:cs="Arial"/>
        </w:rPr>
        <w:t xml:space="preserve">e and in-person </w:t>
      </w:r>
      <w:r w:rsidR="0066512C">
        <w:rPr>
          <w:rFonts w:ascii="Arial" w:hAnsi="Arial" w:cs="Arial"/>
        </w:rPr>
        <w:t>comp</w:t>
      </w:r>
      <w:r w:rsidR="000E5A65">
        <w:rPr>
          <w:rFonts w:ascii="Arial" w:hAnsi="Arial" w:cs="Arial"/>
        </w:rPr>
        <w:t>onents</w:t>
      </w:r>
      <w:r w:rsidRPr="001462D4">
        <w:rPr>
          <w:rFonts w:ascii="Arial" w:hAnsi="Arial" w:cs="Arial"/>
        </w:rPr>
        <w:t>.</w:t>
      </w:r>
    </w:p>
    <w:p w14:paraId="4251F686" w14:textId="7E195595" w:rsidR="00DD4343" w:rsidRPr="001462D4" w:rsidRDefault="00DD4343" w:rsidP="002D43CE">
      <w:pPr>
        <w:spacing w:after="120"/>
        <w:jc w:val="both"/>
        <w:rPr>
          <w:rFonts w:ascii="Arial" w:hAnsi="Arial" w:cs="Arial"/>
        </w:rPr>
      </w:pPr>
    </w:p>
    <w:p w14:paraId="5D6B4194" w14:textId="6A4DE02D" w:rsidR="00DD4343" w:rsidRPr="001462D4" w:rsidRDefault="00151314" w:rsidP="00E97220">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6</w:t>
      </w:r>
      <w:r w:rsidR="00424AE1" w:rsidRPr="001462D4">
        <w:rPr>
          <w:rFonts w:ascii="Arial" w:eastAsiaTheme="majorEastAsia" w:hAnsi="Arial" w:cs="Arial"/>
          <w:b/>
          <w:bCs/>
          <w:color w:val="4F81BD" w:themeColor="accent1"/>
          <w:sz w:val="26"/>
          <w:szCs w:val="26"/>
        </w:rPr>
        <w:t>. Timeline and Milestones</w:t>
      </w:r>
    </w:p>
    <w:p w14:paraId="545B1A3A" w14:textId="6F24CF33" w:rsidR="001D548C" w:rsidRPr="001462D4" w:rsidRDefault="001D548C" w:rsidP="002D43CE">
      <w:pPr>
        <w:jc w:val="both"/>
        <w:rPr>
          <w:rFonts w:ascii="Arial" w:hAnsi="Arial" w:cs="Arial"/>
        </w:rPr>
      </w:pPr>
      <w:r w:rsidRPr="001462D4">
        <w:rPr>
          <w:rFonts w:ascii="Arial" w:hAnsi="Arial" w:cs="Arial"/>
        </w:rPr>
        <w:t xml:space="preserve">The consultancy is expected to require approximately </w:t>
      </w:r>
      <w:r w:rsidR="00113E87" w:rsidRPr="001462D4">
        <w:rPr>
          <w:rFonts w:ascii="Arial" w:hAnsi="Arial" w:cs="Arial"/>
        </w:rPr>
        <w:t>1</w:t>
      </w:r>
      <w:r w:rsidR="004A76D8" w:rsidRPr="001462D4">
        <w:rPr>
          <w:rFonts w:ascii="Arial" w:hAnsi="Arial" w:cs="Arial"/>
        </w:rPr>
        <w:t>0</w:t>
      </w:r>
      <w:r w:rsidRPr="001462D4">
        <w:rPr>
          <w:rFonts w:ascii="Arial" w:hAnsi="Arial" w:cs="Arial"/>
        </w:rPr>
        <w:t xml:space="preserve"> working days over a period of </w:t>
      </w:r>
      <w:r w:rsidR="008654A6" w:rsidRPr="001462D4">
        <w:rPr>
          <w:rFonts w:ascii="Arial" w:hAnsi="Arial" w:cs="Arial"/>
        </w:rPr>
        <w:t>4</w:t>
      </w:r>
      <w:r w:rsidRPr="001462D4">
        <w:rPr>
          <w:rFonts w:ascii="Arial" w:hAnsi="Arial" w:cs="Arial"/>
        </w:rPr>
        <w:t xml:space="preserve"> weeks.</w:t>
      </w:r>
    </w:p>
    <w:p w14:paraId="6278012A" w14:textId="68069AC7" w:rsidR="000E4220" w:rsidRPr="001462D4" w:rsidRDefault="002A2032" w:rsidP="002D43CE">
      <w:pPr>
        <w:pStyle w:val="ListParagraph"/>
        <w:numPr>
          <w:ilvl w:val="0"/>
          <w:numId w:val="15"/>
        </w:numPr>
        <w:jc w:val="both"/>
        <w:rPr>
          <w:rFonts w:ascii="Arial" w:hAnsi="Arial" w:cs="Arial"/>
        </w:rPr>
      </w:pPr>
      <w:r w:rsidRPr="001462D4">
        <w:rPr>
          <w:rFonts w:ascii="Arial" w:hAnsi="Arial" w:cs="Arial"/>
        </w:rPr>
        <w:t xml:space="preserve">April </w:t>
      </w:r>
      <w:r w:rsidR="00D7009B">
        <w:rPr>
          <w:rFonts w:ascii="Arial" w:hAnsi="Arial" w:cs="Arial"/>
        </w:rPr>
        <w:t>5</w:t>
      </w:r>
      <w:r w:rsidR="00F127F0" w:rsidRPr="001462D4">
        <w:rPr>
          <w:rFonts w:ascii="Arial" w:hAnsi="Arial" w:cs="Arial"/>
        </w:rPr>
        <w:t>-</w:t>
      </w:r>
      <w:r w:rsidR="00D7009B">
        <w:rPr>
          <w:rFonts w:ascii="Arial" w:hAnsi="Arial" w:cs="Arial"/>
        </w:rPr>
        <w:t>10</w:t>
      </w:r>
      <w:r w:rsidR="008447B5" w:rsidRPr="001462D4">
        <w:rPr>
          <w:rFonts w:ascii="Arial" w:hAnsi="Arial" w:cs="Arial"/>
        </w:rPr>
        <w:t xml:space="preserve">/2026: inception period </w:t>
      </w:r>
    </w:p>
    <w:p w14:paraId="5C9E25C6" w14:textId="5AF7390F" w:rsidR="0023436E" w:rsidRPr="001462D4" w:rsidRDefault="00CD31E3" w:rsidP="002D43CE">
      <w:pPr>
        <w:pStyle w:val="ListParagraph"/>
        <w:numPr>
          <w:ilvl w:val="0"/>
          <w:numId w:val="15"/>
        </w:numPr>
        <w:jc w:val="both"/>
        <w:rPr>
          <w:rFonts w:ascii="Arial" w:hAnsi="Arial" w:cs="Arial"/>
        </w:rPr>
      </w:pPr>
      <w:r w:rsidRPr="001462D4">
        <w:rPr>
          <w:rFonts w:ascii="Arial" w:hAnsi="Arial" w:cs="Arial"/>
        </w:rPr>
        <w:t xml:space="preserve">April </w:t>
      </w:r>
      <w:r w:rsidR="006312BD" w:rsidRPr="001462D4">
        <w:rPr>
          <w:rFonts w:ascii="Arial" w:hAnsi="Arial" w:cs="Arial"/>
        </w:rPr>
        <w:t>2</w:t>
      </w:r>
      <w:r w:rsidR="002A0A11">
        <w:rPr>
          <w:rFonts w:ascii="Arial" w:hAnsi="Arial" w:cs="Arial"/>
        </w:rPr>
        <w:t>5</w:t>
      </w:r>
      <w:r w:rsidRPr="001462D4">
        <w:rPr>
          <w:rFonts w:ascii="Arial" w:hAnsi="Arial" w:cs="Arial"/>
        </w:rPr>
        <w:t>: First</w:t>
      </w:r>
      <w:r w:rsidR="005C6A2F" w:rsidRPr="001462D4">
        <w:rPr>
          <w:rFonts w:ascii="Arial" w:hAnsi="Arial" w:cs="Arial"/>
        </w:rPr>
        <w:t xml:space="preserve"> draft training package including curriculum and session plans.</w:t>
      </w:r>
    </w:p>
    <w:p w14:paraId="60B1820D" w14:textId="27802747" w:rsidR="004D0B43" w:rsidRPr="001462D4" w:rsidRDefault="00976264" w:rsidP="002D43CE">
      <w:pPr>
        <w:pStyle w:val="ListParagraph"/>
        <w:numPr>
          <w:ilvl w:val="0"/>
          <w:numId w:val="15"/>
        </w:numPr>
        <w:jc w:val="both"/>
        <w:rPr>
          <w:rFonts w:ascii="Arial" w:hAnsi="Arial" w:cs="Arial"/>
        </w:rPr>
      </w:pPr>
      <w:r w:rsidRPr="001462D4">
        <w:rPr>
          <w:rFonts w:ascii="Arial" w:hAnsi="Arial" w:cs="Arial"/>
        </w:rPr>
        <w:t xml:space="preserve">April </w:t>
      </w:r>
      <w:r w:rsidR="0013112D" w:rsidRPr="001462D4">
        <w:rPr>
          <w:rFonts w:ascii="Arial" w:hAnsi="Arial" w:cs="Arial"/>
        </w:rPr>
        <w:t>2</w:t>
      </w:r>
      <w:r w:rsidR="002A0A11">
        <w:rPr>
          <w:rFonts w:ascii="Arial" w:hAnsi="Arial" w:cs="Arial"/>
        </w:rPr>
        <w:t>5</w:t>
      </w:r>
      <w:r w:rsidRPr="001462D4">
        <w:rPr>
          <w:rFonts w:ascii="Arial" w:hAnsi="Arial" w:cs="Arial"/>
        </w:rPr>
        <w:t>-</w:t>
      </w:r>
      <w:r w:rsidR="00075A73" w:rsidRPr="001462D4">
        <w:rPr>
          <w:rFonts w:ascii="Arial" w:hAnsi="Arial" w:cs="Arial"/>
        </w:rPr>
        <w:t>30</w:t>
      </w:r>
      <w:r w:rsidRPr="001462D4">
        <w:rPr>
          <w:rFonts w:ascii="Arial" w:hAnsi="Arial" w:cs="Arial"/>
        </w:rPr>
        <w:t xml:space="preserve">: Review period </w:t>
      </w:r>
    </w:p>
    <w:p w14:paraId="040225C7" w14:textId="260A7E25" w:rsidR="00075A73" w:rsidRPr="00925BAA" w:rsidRDefault="00925BAA" w:rsidP="00925BAA">
      <w:pPr>
        <w:pStyle w:val="ListParagraph"/>
        <w:numPr>
          <w:ilvl w:val="0"/>
          <w:numId w:val="15"/>
        </w:numPr>
        <w:jc w:val="both"/>
        <w:rPr>
          <w:rFonts w:ascii="Arial" w:hAnsi="Arial" w:cs="Arial"/>
        </w:rPr>
      </w:pPr>
      <w:r w:rsidRPr="00925BAA">
        <w:rPr>
          <w:rFonts w:ascii="Arial" w:hAnsi="Arial" w:cs="Arial"/>
        </w:rPr>
        <w:t>May 05: Final training package including agenda, facilitator methodology guide, participant handbook, power point presentations, exercises, evaluation tools for online and in-person components.</w:t>
      </w:r>
    </w:p>
    <w:p w14:paraId="2D617830" w14:textId="2B28B030" w:rsidR="0036660B" w:rsidRPr="001462D4" w:rsidRDefault="00FB4A59" w:rsidP="002D43CE">
      <w:pPr>
        <w:pStyle w:val="ListParagraph"/>
        <w:numPr>
          <w:ilvl w:val="0"/>
          <w:numId w:val="15"/>
        </w:numPr>
        <w:jc w:val="both"/>
        <w:rPr>
          <w:rFonts w:ascii="Arial" w:hAnsi="Arial" w:cs="Arial"/>
        </w:rPr>
      </w:pPr>
      <w:r w:rsidRPr="001462D4">
        <w:rPr>
          <w:rFonts w:ascii="Arial" w:hAnsi="Arial" w:cs="Arial"/>
        </w:rPr>
        <w:t xml:space="preserve">May 10: Validation of the package </w:t>
      </w:r>
    </w:p>
    <w:p w14:paraId="05D7B765" w14:textId="77777777" w:rsidR="002D43CE" w:rsidRPr="001462D4" w:rsidRDefault="002D43CE" w:rsidP="002D43CE">
      <w:pPr>
        <w:pStyle w:val="ListParagraph"/>
        <w:jc w:val="both"/>
        <w:rPr>
          <w:rFonts w:ascii="Arial" w:hAnsi="Arial" w:cs="Arial"/>
        </w:rPr>
      </w:pPr>
    </w:p>
    <w:p w14:paraId="678AB7E9" w14:textId="32A56FC2" w:rsidR="00DD4343" w:rsidRPr="001462D4" w:rsidRDefault="00151314" w:rsidP="00FF6C2D">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7</w:t>
      </w:r>
      <w:r w:rsidR="00424AE1" w:rsidRPr="001462D4">
        <w:rPr>
          <w:rFonts w:ascii="Arial" w:eastAsiaTheme="majorEastAsia" w:hAnsi="Arial" w:cs="Arial"/>
          <w:b/>
          <w:bCs/>
          <w:color w:val="4F81BD" w:themeColor="accent1"/>
          <w:sz w:val="26"/>
          <w:szCs w:val="26"/>
        </w:rPr>
        <w:t>. Roles and Responsibilities</w:t>
      </w:r>
    </w:p>
    <w:p w14:paraId="4FBE507E" w14:textId="7C1E515A" w:rsidR="00DD4343" w:rsidRPr="001462D4" w:rsidRDefault="00424AE1" w:rsidP="002D43CE">
      <w:pPr>
        <w:spacing w:after="120"/>
        <w:jc w:val="both"/>
        <w:rPr>
          <w:rFonts w:ascii="Arial" w:hAnsi="Arial" w:cs="Arial"/>
        </w:rPr>
      </w:pPr>
      <w:r w:rsidRPr="001462D4">
        <w:rPr>
          <w:rFonts w:ascii="Arial" w:hAnsi="Arial" w:cs="Arial"/>
        </w:rPr>
        <w:t xml:space="preserve">ADF: Provide strategic direction, </w:t>
      </w:r>
      <w:r w:rsidR="00B570E4" w:rsidRPr="001462D4">
        <w:rPr>
          <w:rFonts w:ascii="Arial" w:hAnsi="Arial" w:cs="Arial"/>
        </w:rPr>
        <w:t>provide relevant materials</w:t>
      </w:r>
      <w:r w:rsidRPr="001462D4">
        <w:rPr>
          <w:rFonts w:ascii="Arial" w:hAnsi="Arial" w:cs="Arial"/>
        </w:rPr>
        <w:t>, review and approve deliverables.</w:t>
      </w:r>
    </w:p>
    <w:p w14:paraId="76E9B459" w14:textId="107C3A7B" w:rsidR="00151314" w:rsidRPr="001462D4" w:rsidRDefault="0075234E" w:rsidP="002D43CE">
      <w:pPr>
        <w:spacing w:after="120"/>
        <w:jc w:val="both"/>
        <w:rPr>
          <w:rFonts w:ascii="Arial" w:hAnsi="Arial" w:cs="Arial"/>
        </w:rPr>
      </w:pPr>
      <w:r w:rsidRPr="001462D4">
        <w:rPr>
          <w:rFonts w:ascii="Arial" w:hAnsi="Arial" w:cs="Arial"/>
        </w:rPr>
        <w:t>Consultant</w:t>
      </w:r>
      <w:r w:rsidR="00424AE1" w:rsidRPr="001462D4">
        <w:rPr>
          <w:rFonts w:ascii="Arial" w:hAnsi="Arial" w:cs="Arial"/>
        </w:rPr>
        <w:t>: Technical development</w:t>
      </w:r>
      <w:r w:rsidRPr="001462D4">
        <w:rPr>
          <w:rFonts w:ascii="Arial" w:hAnsi="Arial" w:cs="Arial"/>
        </w:rPr>
        <w:t xml:space="preserve"> of the training package, </w:t>
      </w:r>
      <w:r w:rsidR="00F71D1A" w:rsidRPr="001462D4">
        <w:rPr>
          <w:rFonts w:ascii="Arial" w:hAnsi="Arial" w:cs="Arial"/>
        </w:rPr>
        <w:t>close consultation with ADF</w:t>
      </w:r>
      <w:r w:rsidR="00424AE1" w:rsidRPr="001462D4">
        <w:rPr>
          <w:rFonts w:ascii="Arial" w:hAnsi="Arial" w:cs="Arial"/>
        </w:rPr>
        <w:t>, documentation</w:t>
      </w:r>
      <w:r w:rsidR="00F71D1A" w:rsidRPr="001462D4">
        <w:rPr>
          <w:rFonts w:ascii="Arial" w:hAnsi="Arial" w:cs="Arial"/>
        </w:rPr>
        <w:t xml:space="preserve">. </w:t>
      </w:r>
    </w:p>
    <w:p w14:paraId="761A7F8D" w14:textId="77777777" w:rsidR="002D43CE" w:rsidRPr="001462D4" w:rsidRDefault="002D43CE" w:rsidP="002D43CE">
      <w:pPr>
        <w:spacing w:after="120"/>
        <w:rPr>
          <w:rFonts w:ascii="Arial" w:hAnsi="Arial" w:cs="Arial"/>
        </w:rPr>
      </w:pPr>
    </w:p>
    <w:p w14:paraId="7077FC37" w14:textId="1244DD47" w:rsidR="00DD4343" w:rsidRPr="001462D4" w:rsidRDefault="00151314" w:rsidP="00FF6C2D">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8</w:t>
      </w:r>
      <w:r w:rsidR="00424AE1" w:rsidRPr="001462D4">
        <w:rPr>
          <w:rFonts w:ascii="Arial" w:eastAsiaTheme="majorEastAsia" w:hAnsi="Arial" w:cs="Arial"/>
          <w:b/>
          <w:bCs/>
          <w:color w:val="4F81BD" w:themeColor="accent1"/>
          <w:sz w:val="26"/>
          <w:szCs w:val="26"/>
        </w:rPr>
        <w:t>. Required Qualifications</w:t>
      </w:r>
    </w:p>
    <w:p w14:paraId="4BAF270D" w14:textId="77777777" w:rsidR="00EA4B85" w:rsidRPr="001462D4" w:rsidRDefault="00EA4B85" w:rsidP="002D43CE">
      <w:pPr>
        <w:pStyle w:val="ListParagraph"/>
        <w:numPr>
          <w:ilvl w:val="0"/>
          <w:numId w:val="18"/>
        </w:numPr>
        <w:rPr>
          <w:rFonts w:ascii="Arial" w:hAnsi="Arial" w:cs="Arial"/>
        </w:rPr>
      </w:pPr>
      <w:r w:rsidRPr="001462D4">
        <w:rPr>
          <w:rFonts w:ascii="Arial" w:hAnsi="Arial" w:cs="Arial"/>
        </w:rPr>
        <w:t>Advanced degree in human rights, disability studies, development studies, or related field.</w:t>
      </w:r>
    </w:p>
    <w:p w14:paraId="1979E9ED" w14:textId="77777777" w:rsidR="00EA4B85" w:rsidRPr="001462D4" w:rsidRDefault="00EA4B85" w:rsidP="002D43CE">
      <w:pPr>
        <w:pStyle w:val="ListParagraph"/>
        <w:numPr>
          <w:ilvl w:val="0"/>
          <w:numId w:val="18"/>
        </w:numPr>
        <w:rPr>
          <w:rFonts w:ascii="Arial" w:hAnsi="Arial" w:cs="Arial"/>
        </w:rPr>
      </w:pPr>
      <w:r w:rsidRPr="001462D4">
        <w:rPr>
          <w:rFonts w:ascii="Arial" w:hAnsi="Arial" w:cs="Arial"/>
        </w:rPr>
        <w:t>Minimum 7 years of experience in disability rights or inclusive development.</w:t>
      </w:r>
    </w:p>
    <w:p w14:paraId="750FF885" w14:textId="77777777" w:rsidR="00EA4B85" w:rsidRPr="001462D4" w:rsidRDefault="00EA4B85" w:rsidP="002D43CE">
      <w:pPr>
        <w:pStyle w:val="ListParagraph"/>
        <w:numPr>
          <w:ilvl w:val="0"/>
          <w:numId w:val="18"/>
        </w:numPr>
        <w:rPr>
          <w:rFonts w:ascii="Arial" w:hAnsi="Arial" w:cs="Arial"/>
        </w:rPr>
      </w:pPr>
      <w:r w:rsidRPr="001462D4">
        <w:rPr>
          <w:rFonts w:ascii="Arial" w:hAnsi="Arial" w:cs="Arial"/>
        </w:rPr>
        <w:t>Strong knowledge of CRPD, African Disability Protocol, and Agenda 2063.</w:t>
      </w:r>
    </w:p>
    <w:p w14:paraId="00BDF4D7" w14:textId="3A87A5CB" w:rsidR="00EA4B85" w:rsidRPr="001462D4" w:rsidRDefault="00EA4B85" w:rsidP="002D43CE">
      <w:pPr>
        <w:pStyle w:val="ListParagraph"/>
        <w:numPr>
          <w:ilvl w:val="0"/>
          <w:numId w:val="18"/>
        </w:numPr>
        <w:jc w:val="both"/>
        <w:rPr>
          <w:rFonts w:ascii="Arial" w:hAnsi="Arial" w:cs="Arial"/>
        </w:rPr>
      </w:pPr>
      <w:r w:rsidRPr="001462D4">
        <w:rPr>
          <w:rFonts w:ascii="Arial" w:hAnsi="Arial" w:cs="Arial"/>
        </w:rPr>
        <w:t xml:space="preserve">Proven experience developing training curricula and </w:t>
      </w:r>
      <w:r w:rsidR="000E2F4B" w:rsidRPr="001462D4">
        <w:rPr>
          <w:rFonts w:ascii="Arial" w:hAnsi="Arial" w:cs="Arial"/>
        </w:rPr>
        <w:t xml:space="preserve">implementing </w:t>
      </w:r>
      <w:r w:rsidRPr="001462D4">
        <w:rPr>
          <w:rFonts w:ascii="Arial" w:hAnsi="Arial" w:cs="Arial"/>
        </w:rPr>
        <w:t>Training of Trainers programs.</w:t>
      </w:r>
    </w:p>
    <w:p w14:paraId="4A0A77F4" w14:textId="46035966" w:rsidR="00163CBB" w:rsidRPr="001462D4" w:rsidRDefault="00EA4B85" w:rsidP="002D43CE">
      <w:pPr>
        <w:pStyle w:val="ListParagraph"/>
        <w:numPr>
          <w:ilvl w:val="0"/>
          <w:numId w:val="18"/>
        </w:numPr>
        <w:jc w:val="both"/>
        <w:rPr>
          <w:rFonts w:ascii="Arial" w:hAnsi="Arial" w:cs="Arial"/>
        </w:rPr>
      </w:pPr>
      <w:r w:rsidRPr="001462D4">
        <w:rPr>
          <w:rFonts w:ascii="Arial" w:hAnsi="Arial" w:cs="Arial"/>
        </w:rPr>
        <w:t>Experience working with organizations of persons with disabilities</w:t>
      </w:r>
      <w:r w:rsidR="00163CBB" w:rsidRPr="001462D4">
        <w:rPr>
          <w:rFonts w:ascii="Arial" w:hAnsi="Arial" w:cs="Arial"/>
        </w:rPr>
        <w:t xml:space="preserve">. </w:t>
      </w:r>
    </w:p>
    <w:p w14:paraId="0B072D49" w14:textId="77777777" w:rsidR="006D5A28" w:rsidRPr="001462D4" w:rsidRDefault="006D5A28" w:rsidP="006D5A28">
      <w:pPr>
        <w:rPr>
          <w:rFonts w:ascii="Arial" w:eastAsiaTheme="majorEastAsia" w:hAnsi="Arial" w:cs="Arial"/>
          <w:b/>
          <w:bCs/>
          <w:color w:val="4F81BD" w:themeColor="accent1"/>
          <w:sz w:val="26"/>
          <w:szCs w:val="26"/>
        </w:rPr>
      </w:pPr>
    </w:p>
    <w:p w14:paraId="049FAC06" w14:textId="5844E0BF" w:rsidR="00691A42" w:rsidRPr="001462D4" w:rsidRDefault="002D43CE" w:rsidP="00691A42">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9</w:t>
      </w:r>
      <w:r w:rsidR="00691A42" w:rsidRPr="001462D4">
        <w:rPr>
          <w:rFonts w:ascii="Arial" w:eastAsiaTheme="majorEastAsia" w:hAnsi="Arial" w:cs="Arial"/>
          <w:b/>
          <w:bCs/>
          <w:color w:val="4F81BD" w:themeColor="accent1"/>
          <w:sz w:val="26"/>
          <w:szCs w:val="26"/>
        </w:rPr>
        <w:t xml:space="preserve">. Submission of the proposal </w:t>
      </w:r>
    </w:p>
    <w:p w14:paraId="2FE01B4C" w14:textId="77777777" w:rsidR="00180BCB" w:rsidRPr="001462D4" w:rsidRDefault="00691A42" w:rsidP="00C35069">
      <w:pPr>
        <w:spacing w:after="120"/>
        <w:rPr>
          <w:rFonts w:ascii="Arial" w:hAnsi="Arial" w:cs="Arial"/>
        </w:rPr>
      </w:pPr>
      <w:r w:rsidRPr="001462D4">
        <w:rPr>
          <w:rFonts w:ascii="Arial" w:hAnsi="Arial" w:cs="Arial"/>
        </w:rPr>
        <w:t xml:space="preserve">Interested applicants are encouraged to submit a response to the terms of reference </w:t>
      </w:r>
      <w:r w:rsidR="00180BCB" w:rsidRPr="001462D4">
        <w:rPr>
          <w:rFonts w:ascii="Arial" w:hAnsi="Arial" w:cs="Arial"/>
        </w:rPr>
        <w:t xml:space="preserve">providing: </w:t>
      </w:r>
    </w:p>
    <w:p w14:paraId="0B9AAAE0" w14:textId="14E1DE79" w:rsidR="00C35069" w:rsidRPr="001462D4" w:rsidRDefault="00C35069" w:rsidP="002D43CE">
      <w:pPr>
        <w:pStyle w:val="ListParagraph"/>
        <w:numPr>
          <w:ilvl w:val="0"/>
          <w:numId w:val="20"/>
        </w:numPr>
        <w:spacing w:after="120"/>
        <w:rPr>
          <w:rFonts w:ascii="Arial" w:hAnsi="Arial" w:cs="Arial"/>
        </w:rPr>
      </w:pPr>
      <w:r w:rsidRPr="001462D4">
        <w:rPr>
          <w:rFonts w:ascii="Arial" w:hAnsi="Arial" w:cs="Arial"/>
        </w:rPr>
        <w:t xml:space="preserve">Technical proposal outlining methodology and </w:t>
      </w:r>
      <w:r w:rsidR="001A3F0B" w:rsidRPr="001462D4">
        <w:rPr>
          <w:rFonts w:ascii="Arial" w:hAnsi="Arial" w:cs="Arial"/>
        </w:rPr>
        <w:t>approach.</w:t>
      </w:r>
    </w:p>
    <w:p w14:paraId="479A1204" w14:textId="080BF49D" w:rsidR="00C35069" w:rsidRPr="001462D4" w:rsidRDefault="00C35069" w:rsidP="002D43CE">
      <w:pPr>
        <w:pStyle w:val="ListParagraph"/>
        <w:numPr>
          <w:ilvl w:val="0"/>
          <w:numId w:val="20"/>
        </w:numPr>
        <w:spacing w:after="120"/>
        <w:rPr>
          <w:rFonts w:ascii="Arial" w:hAnsi="Arial" w:cs="Arial"/>
        </w:rPr>
      </w:pPr>
      <w:r w:rsidRPr="001462D4">
        <w:rPr>
          <w:rFonts w:ascii="Arial" w:hAnsi="Arial" w:cs="Arial"/>
        </w:rPr>
        <w:t xml:space="preserve">Financial </w:t>
      </w:r>
      <w:r w:rsidR="00AD51BF" w:rsidRPr="001462D4">
        <w:rPr>
          <w:rFonts w:ascii="Arial" w:hAnsi="Arial" w:cs="Arial"/>
        </w:rPr>
        <w:t>proposal.</w:t>
      </w:r>
    </w:p>
    <w:p w14:paraId="7CB1F798" w14:textId="09CCA22F" w:rsidR="00C35069" w:rsidRPr="001462D4" w:rsidRDefault="00D04761" w:rsidP="002D43CE">
      <w:pPr>
        <w:pStyle w:val="ListParagraph"/>
        <w:numPr>
          <w:ilvl w:val="0"/>
          <w:numId w:val="20"/>
        </w:numPr>
        <w:spacing w:after="120"/>
        <w:rPr>
          <w:rFonts w:ascii="Arial" w:hAnsi="Arial" w:cs="Arial"/>
        </w:rPr>
      </w:pPr>
      <w:r w:rsidRPr="001462D4">
        <w:rPr>
          <w:rFonts w:ascii="Arial" w:hAnsi="Arial" w:cs="Arial"/>
        </w:rPr>
        <w:t>P</w:t>
      </w:r>
      <w:r w:rsidR="00BF34CC" w:rsidRPr="001462D4">
        <w:rPr>
          <w:rFonts w:ascii="Arial" w:hAnsi="Arial" w:cs="Arial"/>
        </w:rPr>
        <w:t>roof of relevant previ</w:t>
      </w:r>
      <w:r w:rsidRPr="001462D4">
        <w:rPr>
          <w:rFonts w:ascii="Arial" w:hAnsi="Arial" w:cs="Arial"/>
        </w:rPr>
        <w:t xml:space="preserve">ous experiences. </w:t>
      </w:r>
    </w:p>
    <w:p w14:paraId="3393686F" w14:textId="445CCE28" w:rsidR="00111C16" w:rsidRPr="001462D4" w:rsidRDefault="00C35069" w:rsidP="002D43CE">
      <w:pPr>
        <w:pStyle w:val="ListParagraph"/>
        <w:numPr>
          <w:ilvl w:val="0"/>
          <w:numId w:val="20"/>
        </w:numPr>
        <w:spacing w:after="120"/>
        <w:rPr>
          <w:rFonts w:ascii="Arial" w:hAnsi="Arial" w:cs="Arial"/>
        </w:rPr>
      </w:pPr>
      <w:r w:rsidRPr="001462D4">
        <w:rPr>
          <w:rFonts w:ascii="Arial" w:hAnsi="Arial" w:cs="Arial"/>
        </w:rPr>
        <w:t>CV</w:t>
      </w:r>
    </w:p>
    <w:p w14:paraId="09467D17" w14:textId="23AC2CA2" w:rsidR="002D43CE" w:rsidRPr="001462D4" w:rsidRDefault="00691A42" w:rsidP="002D43CE">
      <w:pPr>
        <w:spacing w:after="120"/>
        <w:jc w:val="both"/>
        <w:rPr>
          <w:rFonts w:ascii="Arial" w:hAnsi="Arial" w:cs="Arial"/>
        </w:rPr>
      </w:pPr>
      <w:r w:rsidRPr="001462D4">
        <w:rPr>
          <w:rFonts w:ascii="Arial" w:hAnsi="Arial" w:cs="Arial"/>
        </w:rPr>
        <w:t>by close of business (5:00PM EAT) on</w:t>
      </w:r>
      <w:r w:rsidR="00AD748E" w:rsidRPr="001462D4">
        <w:rPr>
          <w:rFonts w:ascii="Arial" w:hAnsi="Arial" w:cs="Arial"/>
        </w:rPr>
        <w:t xml:space="preserve"> </w:t>
      </w:r>
      <w:r w:rsidR="00AD51BF" w:rsidRPr="001462D4">
        <w:rPr>
          <w:rFonts w:ascii="Arial" w:hAnsi="Arial" w:cs="Arial"/>
        </w:rPr>
        <w:t>March 2</w:t>
      </w:r>
      <w:r w:rsidR="00AB01D9">
        <w:rPr>
          <w:rFonts w:ascii="Arial" w:hAnsi="Arial" w:cs="Arial"/>
        </w:rPr>
        <w:t>9</w:t>
      </w:r>
      <w:r w:rsidR="00AD748E" w:rsidRPr="001462D4">
        <w:rPr>
          <w:rFonts w:ascii="Arial" w:hAnsi="Arial" w:cs="Arial"/>
        </w:rPr>
        <w:t>,</w:t>
      </w:r>
      <w:r w:rsidR="00AD51BF" w:rsidRPr="001462D4">
        <w:rPr>
          <w:rFonts w:ascii="Arial" w:hAnsi="Arial" w:cs="Arial"/>
        </w:rPr>
        <w:t xml:space="preserve"> </w:t>
      </w:r>
      <w:r w:rsidR="00351F7D" w:rsidRPr="001462D4">
        <w:rPr>
          <w:rFonts w:ascii="Arial" w:hAnsi="Arial" w:cs="Arial"/>
        </w:rPr>
        <w:t>2026,</w:t>
      </w:r>
      <w:r w:rsidRPr="001462D4">
        <w:rPr>
          <w:rFonts w:ascii="Arial" w:hAnsi="Arial" w:cs="Arial"/>
        </w:rPr>
        <w:t xml:space="preserve"> to </w:t>
      </w:r>
      <w:hyperlink r:id="rId9" w:history="1">
        <w:r w:rsidRPr="001462D4">
          <w:rPr>
            <w:rStyle w:val="Hyperlink"/>
            <w:rFonts w:ascii="Arial" w:hAnsi="Arial" w:cs="Arial"/>
          </w:rPr>
          <w:t>jobs@adf-secretariat.org</w:t>
        </w:r>
      </w:hyperlink>
      <w:r w:rsidRPr="001462D4">
        <w:rPr>
          <w:rFonts w:ascii="Arial" w:hAnsi="Arial" w:cs="Arial"/>
        </w:rPr>
        <w:t xml:space="preserve">. </w:t>
      </w:r>
      <w:r w:rsidR="00F40A1C" w:rsidRPr="001462D4">
        <w:rPr>
          <w:rFonts w:ascii="Arial" w:hAnsi="Arial" w:cs="Arial"/>
        </w:rPr>
        <w:t xml:space="preserve">using as </w:t>
      </w:r>
      <w:r w:rsidR="00966FD3" w:rsidRPr="001462D4">
        <w:rPr>
          <w:rFonts w:ascii="Arial" w:hAnsi="Arial" w:cs="Arial"/>
        </w:rPr>
        <w:t>subject:</w:t>
      </w:r>
      <w:r w:rsidR="00F40A1C" w:rsidRPr="001462D4">
        <w:rPr>
          <w:rFonts w:ascii="Arial" w:hAnsi="Arial" w:cs="Arial"/>
        </w:rPr>
        <w:t xml:space="preserve"> </w:t>
      </w:r>
      <w:proofErr w:type="spellStart"/>
      <w:r w:rsidR="00E32A54" w:rsidRPr="001462D4">
        <w:rPr>
          <w:rFonts w:ascii="Arial" w:hAnsi="Arial" w:cs="Arial"/>
        </w:rPr>
        <w:t>TOT_youth</w:t>
      </w:r>
      <w:proofErr w:type="spellEnd"/>
      <w:r w:rsidR="00E32A54" w:rsidRPr="001462D4">
        <w:rPr>
          <w:rFonts w:ascii="Arial" w:hAnsi="Arial" w:cs="Arial"/>
        </w:rPr>
        <w:t xml:space="preserve"> </w:t>
      </w:r>
      <w:r w:rsidR="00351F7D" w:rsidRPr="001462D4">
        <w:rPr>
          <w:rFonts w:ascii="Arial" w:hAnsi="Arial" w:cs="Arial"/>
        </w:rPr>
        <w:t xml:space="preserve"> </w:t>
      </w:r>
      <w:r w:rsidR="00E162B5" w:rsidRPr="001462D4">
        <w:rPr>
          <w:rFonts w:ascii="Arial" w:hAnsi="Arial" w:cs="Arial"/>
        </w:rPr>
        <w:t xml:space="preserve"> </w:t>
      </w:r>
    </w:p>
    <w:p w14:paraId="7C97094A" w14:textId="70397E32" w:rsidR="00691A42" w:rsidRPr="001462D4" w:rsidRDefault="00691A42" w:rsidP="002D43CE">
      <w:pPr>
        <w:spacing w:after="120"/>
        <w:jc w:val="both"/>
        <w:rPr>
          <w:rFonts w:ascii="Arial" w:hAnsi="Arial" w:cs="Arial"/>
        </w:rPr>
      </w:pPr>
      <w:r w:rsidRPr="001462D4">
        <w:rPr>
          <w:rFonts w:ascii="Arial" w:hAnsi="Arial" w:cs="Arial"/>
        </w:rPr>
        <w:t>Please note this assignment doesn’t entail travel.</w:t>
      </w:r>
    </w:p>
    <w:p w14:paraId="28AE4C2B" w14:textId="77777777" w:rsidR="00FF6C2D" w:rsidRPr="001462D4" w:rsidRDefault="00FF6C2D" w:rsidP="00691A42">
      <w:pPr>
        <w:rPr>
          <w:rFonts w:ascii="Arial" w:eastAsiaTheme="majorEastAsia" w:hAnsi="Arial" w:cs="Arial"/>
          <w:b/>
          <w:bCs/>
          <w:color w:val="4F81BD" w:themeColor="accent1"/>
          <w:sz w:val="26"/>
          <w:szCs w:val="26"/>
        </w:rPr>
      </w:pPr>
    </w:p>
    <w:p w14:paraId="494C550B" w14:textId="68A196F7" w:rsidR="00691A42" w:rsidRPr="001462D4" w:rsidRDefault="00691A42" w:rsidP="00691A42">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1</w:t>
      </w:r>
      <w:r w:rsidR="002D43CE" w:rsidRPr="001462D4">
        <w:rPr>
          <w:rFonts w:ascii="Arial" w:eastAsiaTheme="majorEastAsia" w:hAnsi="Arial" w:cs="Arial"/>
          <w:b/>
          <w:bCs/>
          <w:color w:val="4F81BD" w:themeColor="accent1"/>
          <w:sz w:val="26"/>
          <w:szCs w:val="26"/>
        </w:rPr>
        <w:t>0</w:t>
      </w:r>
      <w:r w:rsidRPr="001462D4">
        <w:rPr>
          <w:rFonts w:ascii="Arial" w:eastAsiaTheme="majorEastAsia" w:hAnsi="Arial" w:cs="Arial"/>
          <w:b/>
          <w:bCs/>
          <w:color w:val="4F81BD" w:themeColor="accent1"/>
          <w:sz w:val="26"/>
          <w:szCs w:val="26"/>
        </w:rPr>
        <w:t xml:space="preserve">.Bid opening </w:t>
      </w:r>
    </w:p>
    <w:p w14:paraId="71596A3F" w14:textId="19C3DFD7" w:rsidR="00FF6C2D" w:rsidRPr="001462D4" w:rsidRDefault="00691A42" w:rsidP="002D43CE">
      <w:pPr>
        <w:jc w:val="both"/>
        <w:rPr>
          <w:rFonts w:ascii="Arial" w:hAnsi="Arial" w:cs="Arial"/>
        </w:rPr>
      </w:pPr>
      <w:r w:rsidRPr="001462D4">
        <w:rPr>
          <w:rFonts w:ascii="Arial" w:hAnsi="Arial" w:cs="Arial"/>
        </w:rPr>
        <w:t xml:space="preserve">Bids shall be opened by ADF evaluation team after the closing date and only the preferred tenderer shall be notified via email from ADF. </w:t>
      </w:r>
    </w:p>
    <w:p w14:paraId="5D61B4B0" w14:textId="77777777" w:rsidR="002D43CE" w:rsidRPr="001462D4" w:rsidRDefault="002D43CE" w:rsidP="00691A42">
      <w:pPr>
        <w:rPr>
          <w:rFonts w:ascii="Arial" w:hAnsi="Arial" w:cs="Arial"/>
        </w:rPr>
      </w:pPr>
    </w:p>
    <w:p w14:paraId="12FF2EDD" w14:textId="41A4AAF3" w:rsidR="00691A42" w:rsidRPr="001462D4" w:rsidRDefault="00691A42" w:rsidP="00691A42">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1</w:t>
      </w:r>
      <w:r w:rsidR="002D43CE" w:rsidRPr="001462D4">
        <w:rPr>
          <w:rFonts w:ascii="Arial" w:eastAsiaTheme="majorEastAsia" w:hAnsi="Arial" w:cs="Arial"/>
          <w:b/>
          <w:bCs/>
          <w:color w:val="4F81BD" w:themeColor="accent1"/>
          <w:sz w:val="26"/>
          <w:szCs w:val="26"/>
        </w:rPr>
        <w:t>1</w:t>
      </w:r>
      <w:r w:rsidRPr="001462D4">
        <w:rPr>
          <w:rFonts w:ascii="Arial" w:eastAsiaTheme="majorEastAsia" w:hAnsi="Arial" w:cs="Arial"/>
          <w:b/>
          <w:bCs/>
          <w:color w:val="4F81BD" w:themeColor="accent1"/>
          <w:sz w:val="26"/>
          <w:szCs w:val="26"/>
        </w:rPr>
        <w:t>.Proposal evaluation</w:t>
      </w:r>
    </w:p>
    <w:p w14:paraId="62B5922D" w14:textId="77777777" w:rsidR="00691A42" w:rsidRPr="001462D4" w:rsidRDefault="00691A42" w:rsidP="002D43CE">
      <w:pPr>
        <w:jc w:val="both"/>
        <w:rPr>
          <w:rFonts w:ascii="Arial" w:hAnsi="Arial" w:cs="Arial"/>
        </w:rPr>
      </w:pPr>
      <w:r w:rsidRPr="001462D4">
        <w:rPr>
          <w:rFonts w:ascii="Arial" w:hAnsi="Arial" w:cs="Arial"/>
        </w:rPr>
        <w:t xml:space="preserve">A two-stage procedure shall be adopted in evaluating the proposals. The technical evaluation shall be carried out first, followed by the financial evaluation. </w:t>
      </w:r>
    </w:p>
    <w:p w14:paraId="6AB5A388" w14:textId="77777777" w:rsidR="00691A42" w:rsidRPr="001462D4" w:rsidRDefault="00691A42" w:rsidP="00691A42">
      <w:pPr>
        <w:rPr>
          <w:rFonts w:ascii="Arial" w:hAnsi="Arial" w:cs="Arial"/>
        </w:rPr>
      </w:pPr>
    </w:p>
    <w:p w14:paraId="554F9AC8" w14:textId="0AF087AA" w:rsidR="00691A42" w:rsidRPr="001462D4" w:rsidRDefault="00691A42" w:rsidP="00691A42">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1</w:t>
      </w:r>
      <w:r w:rsidR="002D43CE" w:rsidRPr="001462D4">
        <w:rPr>
          <w:rFonts w:ascii="Arial" w:eastAsiaTheme="majorEastAsia" w:hAnsi="Arial" w:cs="Arial"/>
          <w:b/>
          <w:bCs/>
          <w:color w:val="4F81BD" w:themeColor="accent1"/>
          <w:sz w:val="26"/>
          <w:szCs w:val="26"/>
        </w:rPr>
        <w:t>2</w:t>
      </w:r>
      <w:r w:rsidRPr="001462D4">
        <w:rPr>
          <w:rFonts w:ascii="Arial" w:eastAsiaTheme="majorEastAsia" w:hAnsi="Arial" w:cs="Arial"/>
          <w:b/>
          <w:bCs/>
          <w:color w:val="4F81BD" w:themeColor="accent1"/>
          <w:sz w:val="26"/>
          <w:szCs w:val="26"/>
        </w:rPr>
        <w:t xml:space="preserve">. Technical evaluation </w:t>
      </w:r>
    </w:p>
    <w:p w14:paraId="69F1C697" w14:textId="77777777" w:rsidR="00691A42" w:rsidRPr="001462D4" w:rsidRDefault="00691A42" w:rsidP="002D43CE">
      <w:pPr>
        <w:jc w:val="both"/>
        <w:rPr>
          <w:rFonts w:ascii="Arial" w:hAnsi="Arial" w:cs="Arial"/>
          <w:b/>
          <w:bCs/>
        </w:rPr>
      </w:pPr>
      <w:r w:rsidRPr="001462D4">
        <w:rPr>
          <w:rFonts w:ascii="Arial" w:hAnsi="Arial" w:cs="Arial"/>
        </w:rPr>
        <w:t>The technical criteria and maximum number of points under each criterion are:</w:t>
      </w:r>
    </w:p>
    <w:tbl>
      <w:tblPr>
        <w:tblStyle w:val="TableGrid"/>
        <w:tblW w:w="0" w:type="auto"/>
        <w:tblLook w:val="04A0" w:firstRow="1" w:lastRow="0" w:firstColumn="1" w:lastColumn="0" w:noHBand="0" w:noVBand="1"/>
      </w:tblPr>
      <w:tblGrid>
        <w:gridCol w:w="6477"/>
        <w:gridCol w:w="2153"/>
      </w:tblGrid>
      <w:tr w:rsidR="00691A42" w:rsidRPr="001462D4" w14:paraId="0E6F0FD6" w14:textId="77777777" w:rsidTr="006500B5">
        <w:tc>
          <w:tcPr>
            <w:tcW w:w="6477" w:type="dxa"/>
          </w:tcPr>
          <w:p w14:paraId="7B5C8A2F" w14:textId="77777777" w:rsidR="00691A42" w:rsidRPr="001462D4" w:rsidRDefault="00691A42" w:rsidP="00627256">
            <w:pPr>
              <w:rPr>
                <w:rFonts w:ascii="Arial" w:hAnsi="Arial" w:cs="Arial"/>
                <w:b/>
                <w:bCs/>
              </w:rPr>
            </w:pPr>
            <w:r w:rsidRPr="001462D4">
              <w:rPr>
                <w:rFonts w:ascii="Arial" w:hAnsi="Arial" w:cs="Arial"/>
                <w:b/>
                <w:bCs/>
              </w:rPr>
              <w:t xml:space="preserve">Criteria </w:t>
            </w:r>
          </w:p>
        </w:tc>
        <w:tc>
          <w:tcPr>
            <w:tcW w:w="2153" w:type="dxa"/>
          </w:tcPr>
          <w:p w14:paraId="282E2C87" w14:textId="77777777" w:rsidR="00691A42" w:rsidRPr="001462D4" w:rsidRDefault="00691A42" w:rsidP="00627256">
            <w:pPr>
              <w:rPr>
                <w:rFonts w:ascii="Arial" w:hAnsi="Arial" w:cs="Arial"/>
                <w:b/>
                <w:bCs/>
              </w:rPr>
            </w:pPr>
            <w:r w:rsidRPr="001462D4">
              <w:rPr>
                <w:rFonts w:ascii="Arial" w:hAnsi="Arial" w:cs="Arial"/>
                <w:b/>
                <w:bCs/>
              </w:rPr>
              <w:t>Maximum Points</w:t>
            </w:r>
          </w:p>
        </w:tc>
      </w:tr>
      <w:tr w:rsidR="00691A42" w:rsidRPr="001462D4" w14:paraId="37A2BD2D" w14:textId="77777777" w:rsidTr="006500B5">
        <w:tc>
          <w:tcPr>
            <w:tcW w:w="6477" w:type="dxa"/>
          </w:tcPr>
          <w:p w14:paraId="55BF4195" w14:textId="77777777" w:rsidR="00691A42" w:rsidRPr="001462D4" w:rsidRDefault="00691A42" w:rsidP="00627256">
            <w:pPr>
              <w:rPr>
                <w:rFonts w:ascii="Arial" w:hAnsi="Arial" w:cs="Arial"/>
              </w:rPr>
            </w:pPr>
            <w:r w:rsidRPr="001462D4">
              <w:rPr>
                <w:rFonts w:ascii="Arial" w:hAnsi="Arial" w:cs="Arial"/>
              </w:rPr>
              <w:lastRenderedPageBreak/>
              <w:t xml:space="preserve">General qualifications of the Consultant </w:t>
            </w:r>
          </w:p>
        </w:tc>
        <w:tc>
          <w:tcPr>
            <w:tcW w:w="2153" w:type="dxa"/>
          </w:tcPr>
          <w:p w14:paraId="2543DDDA" w14:textId="77777777" w:rsidR="00691A42" w:rsidRPr="001462D4" w:rsidRDefault="00691A42" w:rsidP="00A9233D">
            <w:pPr>
              <w:jc w:val="center"/>
              <w:rPr>
                <w:rFonts w:ascii="Arial" w:hAnsi="Arial" w:cs="Arial"/>
              </w:rPr>
            </w:pPr>
            <w:r w:rsidRPr="001462D4">
              <w:rPr>
                <w:rFonts w:ascii="Arial" w:hAnsi="Arial" w:cs="Arial"/>
              </w:rPr>
              <w:t>10</w:t>
            </w:r>
          </w:p>
        </w:tc>
      </w:tr>
      <w:tr w:rsidR="00691A42" w:rsidRPr="001462D4" w14:paraId="74AACC27" w14:textId="77777777" w:rsidTr="006500B5">
        <w:tc>
          <w:tcPr>
            <w:tcW w:w="6477" w:type="dxa"/>
          </w:tcPr>
          <w:p w14:paraId="79403E09" w14:textId="1F06B329" w:rsidR="00691A42" w:rsidRPr="001462D4" w:rsidRDefault="00017388" w:rsidP="00627256">
            <w:pPr>
              <w:rPr>
                <w:rFonts w:ascii="Arial" w:hAnsi="Arial" w:cs="Arial"/>
              </w:rPr>
            </w:pPr>
            <w:r w:rsidRPr="001462D4">
              <w:rPr>
                <w:rFonts w:ascii="Arial" w:hAnsi="Arial" w:cs="Arial"/>
              </w:rPr>
              <w:t>Experience in disability rights and OPD engagement</w:t>
            </w:r>
          </w:p>
        </w:tc>
        <w:tc>
          <w:tcPr>
            <w:tcW w:w="2153" w:type="dxa"/>
          </w:tcPr>
          <w:p w14:paraId="3098E58B" w14:textId="63BCA979" w:rsidR="00691A42" w:rsidRPr="001462D4" w:rsidRDefault="007D065A" w:rsidP="00A9233D">
            <w:pPr>
              <w:jc w:val="center"/>
              <w:rPr>
                <w:rFonts w:ascii="Arial" w:hAnsi="Arial" w:cs="Arial"/>
              </w:rPr>
            </w:pPr>
            <w:r w:rsidRPr="001462D4">
              <w:rPr>
                <w:rFonts w:ascii="Arial" w:hAnsi="Arial" w:cs="Arial"/>
              </w:rPr>
              <w:t>2</w:t>
            </w:r>
            <w:r w:rsidR="00691A42" w:rsidRPr="001462D4">
              <w:rPr>
                <w:rFonts w:ascii="Arial" w:hAnsi="Arial" w:cs="Arial"/>
              </w:rPr>
              <w:t>0</w:t>
            </w:r>
          </w:p>
        </w:tc>
      </w:tr>
      <w:tr w:rsidR="00691A42" w:rsidRPr="001462D4" w14:paraId="6B90945F" w14:textId="77777777" w:rsidTr="006500B5">
        <w:tc>
          <w:tcPr>
            <w:tcW w:w="6477" w:type="dxa"/>
          </w:tcPr>
          <w:p w14:paraId="5766D905" w14:textId="19D0C2A8" w:rsidR="00691A42" w:rsidRPr="001462D4" w:rsidRDefault="00C941FE" w:rsidP="00627256">
            <w:pPr>
              <w:rPr>
                <w:rFonts w:ascii="Arial" w:hAnsi="Arial" w:cs="Arial"/>
              </w:rPr>
            </w:pPr>
            <w:r w:rsidRPr="001462D4">
              <w:rPr>
                <w:rFonts w:ascii="Arial" w:hAnsi="Arial" w:cs="Arial"/>
              </w:rPr>
              <w:t xml:space="preserve">Experience developing training curricula and </w:t>
            </w:r>
            <w:proofErr w:type="spellStart"/>
            <w:r w:rsidRPr="001462D4">
              <w:rPr>
                <w:rFonts w:ascii="Arial" w:hAnsi="Arial" w:cs="Arial"/>
              </w:rPr>
              <w:t>ToT</w:t>
            </w:r>
            <w:proofErr w:type="spellEnd"/>
            <w:r w:rsidRPr="001462D4">
              <w:rPr>
                <w:rFonts w:ascii="Arial" w:hAnsi="Arial" w:cs="Arial"/>
              </w:rPr>
              <w:t xml:space="preserve"> programs</w:t>
            </w:r>
          </w:p>
        </w:tc>
        <w:tc>
          <w:tcPr>
            <w:tcW w:w="2153" w:type="dxa"/>
          </w:tcPr>
          <w:p w14:paraId="1FA08164" w14:textId="20029706" w:rsidR="00691A42" w:rsidRPr="001462D4" w:rsidRDefault="00CA0488" w:rsidP="00A9233D">
            <w:pPr>
              <w:jc w:val="center"/>
              <w:rPr>
                <w:rFonts w:ascii="Arial" w:hAnsi="Arial" w:cs="Arial"/>
              </w:rPr>
            </w:pPr>
            <w:r w:rsidRPr="001462D4">
              <w:rPr>
                <w:rFonts w:ascii="Arial" w:hAnsi="Arial" w:cs="Arial"/>
              </w:rPr>
              <w:t>2</w:t>
            </w:r>
            <w:r w:rsidR="007D5DC9" w:rsidRPr="001462D4">
              <w:rPr>
                <w:rFonts w:ascii="Arial" w:hAnsi="Arial" w:cs="Arial"/>
              </w:rPr>
              <w:t>0</w:t>
            </w:r>
          </w:p>
        </w:tc>
      </w:tr>
      <w:tr w:rsidR="00691A42" w:rsidRPr="001462D4" w14:paraId="60E96FF9" w14:textId="77777777" w:rsidTr="006500B5">
        <w:tc>
          <w:tcPr>
            <w:tcW w:w="6477" w:type="dxa"/>
          </w:tcPr>
          <w:p w14:paraId="2498DF73" w14:textId="292853C4" w:rsidR="00691A42" w:rsidRPr="001462D4" w:rsidRDefault="00D955AB" w:rsidP="00627256">
            <w:pPr>
              <w:rPr>
                <w:rFonts w:ascii="Arial" w:hAnsi="Arial" w:cs="Arial"/>
              </w:rPr>
            </w:pPr>
            <w:r w:rsidRPr="001462D4">
              <w:rPr>
                <w:rFonts w:ascii="Arial" w:hAnsi="Arial" w:cs="Arial"/>
              </w:rPr>
              <w:t xml:space="preserve">Experience in providing Trainings to diverse groups of persons </w:t>
            </w:r>
            <w:r w:rsidR="002230BA" w:rsidRPr="001462D4">
              <w:rPr>
                <w:rFonts w:ascii="Arial" w:hAnsi="Arial" w:cs="Arial"/>
              </w:rPr>
              <w:t xml:space="preserve">with disabilities </w:t>
            </w:r>
          </w:p>
        </w:tc>
        <w:tc>
          <w:tcPr>
            <w:tcW w:w="2153" w:type="dxa"/>
          </w:tcPr>
          <w:p w14:paraId="17C0F7A7" w14:textId="46AD43B0" w:rsidR="00691A42" w:rsidRPr="001462D4" w:rsidRDefault="007D5DC9" w:rsidP="00A9233D">
            <w:pPr>
              <w:jc w:val="center"/>
              <w:rPr>
                <w:rFonts w:ascii="Arial" w:hAnsi="Arial" w:cs="Arial"/>
              </w:rPr>
            </w:pPr>
            <w:r w:rsidRPr="001462D4">
              <w:rPr>
                <w:rFonts w:ascii="Arial" w:hAnsi="Arial" w:cs="Arial"/>
              </w:rPr>
              <w:t>10</w:t>
            </w:r>
          </w:p>
        </w:tc>
      </w:tr>
      <w:tr w:rsidR="00691A42" w:rsidRPr="001462D4" w14:paraId="042ECF56" w14:textId="77777777" w:rsidTr="006500B5">
        <w:tc>
          <w:tcPr>
            <w:tcW w:w="6477" w:type="dxa"/>
          </w:tcPr>
          <w:p w14:paraId="76798709" w14:textId="56A9EBC7" w:rsidR="00691A42" w:rsidRPr="001462D4" w:rsidRDefault="00D955AB" w:rsidP="00627256">
            <w:pPr>
              <w:rPr>
                <w:rFonts w:ascii="Arial" w:hAnsi="Arial" w:cs="Arial"/>
              </w:rPr>
            </w:pPr>
            <w:r w:rsidRPr="001462D4">
              <w:rPr>
                <w:rFonts w:ascii="Arial" w:hAnsi="Arial" w:cs="Arial"/>
              </w:rPr>
              <w:t>Quality of proposed methodology</w:t>
            </w:r>
            <w:r w:rsidR="00691A42" w:rsidRPr="001462D4">
              <w:rPr>
                <w:rFonts w:ascii="Arial" w:hAnsi="Arial" w:cs="Arial"/>
              </w:rPr>
              <w:t xml:space="preserve"> </w:t>
            </w:r>
          </w:p>
        </w:tc>
        <w:tc>
          <w:tcPr>
            <w:tcW w:w="2153" w:type="dxa"/>
          </w:tcPr>
          <w:p w14:paraId="2F3E4D78" w14:textId="1C069378" w:rsidR="00691A42" w:rsidRPr="001462D4" w:rsidRDefault="007D5DC9" w:rsidP="00A9233D">
            <w:pPr>
              <w:jc w:val="center"/>
              <w:rPr>
                <w:rFonts w:ascii="Arial" w:hAnsi="Arial" w:cs="Arial"/>
              </w:rPr>
            </w:pPr>
            <w:r w:rsidRPr="001462D4">
              <w:rPr>
                <w:rFonts w:ascii="Arial" w:hAnsi="Arial" w:cs="Arial"/>
              </w:rPr>
              <w:t>20</w:t>
            </w:r>
          </w:p>
        </w:tc>
      </w:tr>
      <w:tr w:rsidR="00691A42" w:rsidRPr="001462D4" w14:paraId="14C642D0" w14:textId="77777777" w:rsidTr="006500B5">
        <w:tc>
          <w:tcPr>
            <w:tcW w:w="6477" w:type="dxa"/>
          </w:tcPr>
          <w:p w14:paraId="1C8398C0" w14:textId="77777777" w:rsidR="00691A42" w:rsidRPr="001462D4" w:rsidRDefault="00691A42" w:rsidP="00627256">
            <w:pPr>
              <w:rPr>
                <w:rFonts w:ascii="Arial" w:hAnsi="Arial" w:cs="Arial"/>
              </w:rPr>
            </w:pPr>
            <w:r w:rsidRPr="001462D4">
              <w:rPr>
                <w:rFonts w:ascii="Arial" w:hAnsi="Arial" w:cs="Arial"/>
              </w:rPr>
              <w:t xml:space="preserve">Total Points </w:t>
            </w:r>
          </w:p>
        </w:tc>
        <w:tc>
          <w:tcPr>
            <w:tcW w:w="2153" w:type="dxa"/>
          </w:tcPr>
          <w:p w14:paraId="7F87B8B7" w14:textId="26975C57" w:rsidR="00691A42" w:rsidRPr="001462D4" w:rsidRDefault="006500B5" w:rsidP="00A9233D">
            <w:pPr>
              <w:jc w:val="center"/>
              <w:rPr>
                <w:rFonts w:ascii="Arial" w:hAnsi="Arial" w:cs="Arial"/>
              </w:rPr>
            </w:pPr>
            <w:r w:rsidRPr="001462D4">
              <w:rPr>
                <w:rFonts w:ascii="Arial" w:hAnsi="Arial" w:cs="Arial"/>
              </w:rPr>
              <w:t>8</w:t>
            </w:r>
            <w:r w:rsidR="00691A42" w:rsidRPr="001462D4">
              <w:rPr>
                <w:rFonts w:ascii="Arial" w:hAnsi="Arial" w:cs="Arial"/>
              </w:rPr>
              <w:t>0</w:t>
            </w:r>
          </w:p>
        </w:tc>
      </w:tr>
    </w:tbl>
    <w:p w14:paraId="14FDE27B" w14:textId="77777777" w:rsidR="00691A42" w:rsidRPr="001462D4" w:rsidRDefault="00691A42" w:rsidP="002D43CE">
      <w:pPr>
        <w:rPr>
          <w:rFonts w:ascii="Arial" w:hAnsi="Arial" w:cs="Arial"/>
          <w:b/>
          <w:bCs/>
        </w:rPr>
      </w:pPr>
    </w:p>
    <w:tbl>
      <w:tblPr>
        <w:tblStyle w:val="TableGrid"/>
        <w:tblW w:w="0" w:type="auto"/>
        <w:tblLook w:val="04A0" w:firstRow="1" w:lastRow="0" w:firstColumn="1" w:lastColumn="0" w:noHBand="0" w:noVBand="1"/>
      </w:tblPr>
      <w:tblGrid>
        <w:gridCol w:w="3504"/>
        <w:gridCol w:w="2570"/>
        <w:gridCol w:w="2556"/>
      </w:tblGrid>
      <w:tr w:rsidR="00691A42" w:rsidRPr="001462D4" w14:paraId="3F52663A" w14:textId="77777777" w:rsidTr="001462D4">
        <w:tc>
          <w:tcPr>
            <w:tcW w:w="3504" w:type="dxa"/>
          </w:tcPr>
          <w:p w14:paraId="6AE65602" w14:textId="77777777" w:rsidR="00691A42" w:rsidRPr="001462D4" w:rsidRDefault="00691A42" w:rsidP="00627256">
            <w:pPr>
              <w:rPr>
                <w:rFonts w:ascii="Arial" w:hAnsi="Arial" w:cs="Arial"/>
                <w:b/>
                <w:bCs/>
              </w:rPr>
            </w:pPr>
            <w:r w:rsidRPr="001462D4">
              <w:rPr>
                <w:rFonts w:ascii="Arial" w:hAnsi="Arial" w:cs="Arial"/>
                <w:b/>
                <w:bCs/>
              </w:rPr>
              <w:t>Price Component</w:t>
            </w:r>
          </w:p>
        </w:tc>
        <w:tc>
          <w:tcPr>
            <w:tcW w:w="2570" w:type="dxa"/>
          </w:tcPr>
          <w:p w14:paraId="217E75F3" w14:textId="77777777" w:rsidR="00691A42" w:rsidRPr="001462D4" w:rsidRDefault="00691A42" w:rsidP="00627256">
            <w:pPr>
              <w:rPr>
                <w:rFonts w:ascii="Arial" w:hAnsi="Arial" w:cs="Arial"/>
                <w:b/>
                <w:bCs/>
              </w:rPr>
            </w:pPr>
            <w:r w:rsidRPr="001462D4">
              <w:rPr>
                <w:rFonts w:ascii="Arial" w:hAnsi="Arial" w:cs="Arial"/>
                <w:b/>
                <w:bCs/>
              </w:rPr>
              <w:t>Currency (USD)</w:t>
            </w:r>
          </w:p>
        </w:tc>
        <w:tc>
          <w:tcPr>
            <w:tcW w:w="2556" w:type="dxa"/>
          </w:tcPr>
          <w:p w14:paraId="0B7FC26C" w14:textId="77777777" w:rsidR="00691A42" w:rsidRPr="001462D4" w:rsidRDefault="00691A42" w:rsidP="00627256">
            <w:pPr>
              <w:rPr>
                <w:rFonts w:ascii="Arial" w:hAnsi="Arial" w:cs="Arial"/>
                <w:b/>
                <w:bCs/>
              </w:rPr>
            </w:pPr>
            <w:r w:rsidRPr="001462D4">
              <w:rPr>
                <w:rFonts w:ascii="Arial" w:hAnsi="Arial" w:cs="Arial"/>
                <w:b/>
                <w:bCs/>
              </w:rPr>
              <w:t xml:space="preserve">Total Amount </w:t>
            </w:r>
          </w:p>
        </w:tc>
      </w:tr>
    </w:tbl>
    <w:p w14:paraId="65B888B2" w14:textId="77777777" w:rsidR="001462D4" w:rsidRDefault="001462D4" w:rsidP="002D43CE">
      <w:pPr>
        <w:jc w:val="both"/>
        <w:rPr>
          <w:rFonts w:ascii="Arial" w:hAnsi="Arial" w:cs="Arial"/>
        </w:rPr>
      </w:pPr>
    </w:p>
    <w:p w14:paraId="080B5747" w14:textId="0B30AF0F" w:rsidR="00691A42" w:rsidRPr="001462D4" w:rsidRDefault="00691A42" w:rsidP="002D43CE">
      <w:pPr>
        <w:jc w:val="both"/>
        <w:rPr>
          <w:rFonts w:ascii="Arial" w:hAnsi="Arial" w:cs="Arial"/>
        </w:rPr>
      </w:pPr>
      <w:r w:rsidRPr="001462D4">
        <w:rPr>
          <w:rFonts w:ascii="Arial" w:hAnsi="Arial" w:cs="Arial"/>
        </w:rPr>
        <w:t>The evaluation committee, after determining whether the financial proposals are complete and without computational errors, shall check the total quotation. Price shall be in USD. The financial proposals shall be ranked in order with the lowest proposal ranked first. Bid prices shall be valid for a period of 60 days from date of submission of the proposals.</w:t>
      </w:r>
    </w:p>
    <w:p w14:paraId="361FE409" w14:textId="77777777" w:rsidR="00691A42" w:rsidRPr="001462D4" w:rsidRDefault="00691A42" w:rsidP="002D43CE">
      <w:pPr>
        <w:jc w:val="both"/>
        <w:rPr>
          <w:rFonts w:ascii="Arial" w:hAnsi="Arial" w:cs="Arial"/>
        </w:rPr>
      </w:pPr>
      <w:r w:rsidRPr="001462D4">
        <w:rPr>
          <w:rFonts w:ascii="Arial" w:hAnsi="Arial" w:cs="Arial"/>
        </w:rPr>
        <w:t>To determine financial scores for each proposal, the lowest priced proposal shall be given a financial score of 100, and other proposals shall be given a score proportionate to this, by application of the following formula:</w:t>
      </w:r>
    </w:p>
    <w:p w14:paraId="05D0040C" w14:textId="77777777" w:rsidR="00151314" w:rsidRPr="001462D4" w:rsidRDefault="00151314" w:rsidP="00691A42">
      <w:pPr>
        <w:rPr>
          <w:rFonts w:ascii="Arial" w:hAnsi="Arial" w:cs="Arial"/>
        </w:rPr>
      </w:pPr>
    </w:p>
    <w:p w14:paraId="007BEB50" w14:textId="77777777" w:rsidR="00691A42" w:rsidRPr="001462D4" w:rsidRDefault="00691A42" w:rsidP="00C52FCE">
      <w:pPr>
        <w:jc w:val="center"/>
        <w:rPr>
          <w:rFonts w:ascii="Arial" w:hAnsi="Arial" w:cs="Arial"/>
          <w:b/>
          <w:bCs/>
          <w:sz w:val="24"/>
          <w:szCs w:val="24"/>
          <w:u w:val="double"/>
        </w:rPr>
      </w:pPr>
      <w:r w:rsidRPr="001462D4">
        <w:rPr>
          <w:rFonts w:ascii="Arial" w:hAnsi="Arial" w:cs="Arial"/>
          <w:b/>
          <w:bCs/>
          <w:sz w:val="24"/>
          <w:szCs w:val="24"/>
          <w:u w:val="double"/>
        </w:rPr>
        <w:t>Sf = 100 x Fm/</w:t>
      </w:r>
      <w:proofErr w:type="gramStart"/>
      <w:r w:rsidRPr="001462D4">
        <w:rPr>
          <w:rFonts w:ascii="Arial" w:hAnsi="Arial" w:cs="Arial"/>
          <w:b/>
          <w:bCs/>
          <w:sz w:val="24"/>
          <w:szCs w:val="24"/>
          <w:u w:val="double"/>
        </w:rPr>
        <w:t xml:space="preserve">F  </w:t>
      </w:r>
      <w:r w:rsidRPr="001462D4">
        <w:rPr>
          <w:rFonts w:ascii="Arial" w:hAnsi="Arial" w:cs="Arial"/>
          <w:b/>
          <w:bCs/>
          <w:sz w:val="24"/>
          <w:szCs w:val="24"/>
          <w:u w:val="double"/>
        </w:rPr>
        <w:tab/>
      </w:r>
      <w:proofErr w:type="gramEnd"/>
      <w:r w:rsidRPr="001462D4">
        <w:rPr>
          <w:rFonts w:ascii="Arial" w:hAnsi="Arial" w:cs="Arial"/>
          <w:b/>
          <w:bCs/>
          <w:sz w:val="24"/>
          <w:szCs w:val="24"/>
          <w:u w:val="double"/>
        </w:rPr>
        <w:t>in which:</w:t>
      </w:r>
    </w:p>
    <w:p w14:paraId="2CFF1ED3" w14:textId="1F213FF2" w:rsidR="00691A42" w:rsidRPr="001462D4" w:rsidRDefault="00691A42" w:rsidP="00151314">
      <w:pPr>
        <w:pStyle w:val="ListParagraph"/>
        <w:numPr>
          <w:ilvl w:val="0"/>
          <w:numId w:val="17"/>
        </w:numPr>
        <w:rPr>
          <w:rFonts w:ascii="Arial" w:hAnsi="Arial" w:cs="Arial"/>
        </w:rPr>
      </w:pPr>
      <w:r w:rsidRPr="001462D4">
        <w:rPr>
          <w:rFonts w:ascii="Arial" w:hAnsi="Arial" w:cs="Arial"/>
        </w:rPr>
        <w:t xml:space="preserve">Sf </w:t>
      </w:r>
      <w:r w:rsidRPr="001462D4">
        <w:rPr>
          <w:rFonts w:ascii="Arial" w:hAnsi="Arial" w:cs="Arial"/>
        </w:rPr>
        <w:tab/>
        <w:t xml:space="preserve">denotes the financial score of the proposal under consideration; </w:t>
      </w:r>
    </w:p>
    <w:p w14:paraId="53E158D6" w14:textId="77777777" w:rsidR="001462D4" w:rsidRDefault="00691A42" w:rsidP="00151314">
      <w:pPr>
        <w:pStyle w:val="ListParagraph"/>
        <w:numPr>
          <w:ilvl w:val="0"/>
          <w:numId w:val="17"/>
        </w:numPr>
        <w:rPr>
          <w:rFonts w:ascii="Arial" w:hAnsi="Arial" w:cs="Arial"/>
        </w:rPr>
      </w:pPr>
      <w:proofErr w:type="gramStart"/>
      <w:r w:rsidRPr="001462D4">
        <w:rPr>
          <w:rFonts w:ascii="Arial" w:hAnsi="Arial" w:cs="Arial"/>
        </w:rPr>
        <w:t xml:space="preserve">Fm  </w:t>
      </w:r>
      <w:r w:rsidRPr="001462D4">
        <w:rPr>
          <w:rFonts w:ascii="Arial" w:hAnsi="Arial" w:cs="Arial"/>
        </w:rPr>
        <w:tab/>
      </w:r>
      <w:proofErr w:type="gramEnd"/>
      <w:r w:rsidRPr="001462D4">
        <w:rPr>
          <w:rFonts w:ascii="Arial" w:hAnsi="Arial" w:cs="Arial"/>
        </w:rPr>
        <w:t xml:space="preserve">is the price of the lowest price proposal that passed the technical </w:t>
      </w:r>
      <w:r w:rsidR="001462D4">
        <w:rPr>
          <w:rFonts w:ascii="Arial" w:hAnsi="Arial" w:cs="Arial"/>
        </w:rPr>
        <w:t xml:space="preserve"> </w:t>
      </w:r>
    </w:p>
    <w:p w14:paraId="524E586C" w14:textId="1001B936" w:rsidR="00691A42" w:rsidRPr="001462D4" w:rsidRDefault="001462D4" w:rsidP="001462D4">
      <w:pPr>
        <w:pStyle w:val="ListParagraph"/>
        <w:rPr>
          <w:rFonts w:ascii="Arial" w:hAnsi="Arial" w:cs="Arial"/>
        </w:rPr>
      </w:pPr>
      <w:r>
        <w:rPr>
          <w:rFonts w:ascii="Arial" w:hAnsi="Arial" w:cs="Arial"/>
        </w:rPr>
        <w:t xml:space="preserve">            Evaluation;             </w:t>
      </w:r>
      <w:r w:rsidR="00691A42" w:rsidRPr="001462D4">
        <w:rPr>
          <w:rFonts w:ascii="Arial" w:hAnsi="Arial" w:cs="Arial"/>
        </w:rPr>
        <w:t xml:space="preserve"> </w:t>
      </w:r>
    </w:p>
    <w:p w14:paraId="22A30F6D" w14:textId="77777777" w:rsidR="00691A42" w:rsidRPr="001462D4" w:rsidRDefault="00691A42" w:rsidP="00151314">
      <w:pPr>
        <w:pStyle w:val="ListParagraph"/>
        <w:numPr>
          <w:ilvl w:val="0"/>
          <w:numId w:val="17"/>
        </w:numPr>
        <w:rPr>
          <w:rFonts w:ascii="Arial" w:hAnsi="Arial" w:cs="Arial"/>
        </w:rPr>
      </w:pPr>
      <w:r w:rsidRPr="001462D4">
        <w:rPr>
          <w:rFonts w:ascii="Arial" w:hAnsi="Arial" w:cs="Arial"/>
        </w:rPr>
        <w:t xml:space="preserve">F </w:t>
      </w:r>
      <w:r w:rsidRPr="001462D4">
        <w:rPr>
          <w:rFonts w:ascii="Arial" w:hAnsi="Arial" w:cs="Arial"/>
        </w:rPr>
        <w:tab/>
        <w:t>denotes the price of the proposal under consideration.</w:t>
      </w:r>
    </w:p>
    <w:p w14:paraId="7D5DFBDB" w14:textId="77777777" w:rsidR="00151314" w:rsidRPr="001462D4" w:rsidRDefault="00151314" w:rsidP="00691A42">
      <w:pPr>
        <w:rPr>
          <w:rFonts w:ascii="Arial" w:eastAsiaTheme="majorEastAsia" w:hAnsi="Arial" w:cs="Arial"/>
          <w:b/>
          <w:bCs/>
          <w:color w:val="4F81BD" w:themeColor="accent1"/>
          <w:sz w:val="26"/>
          <w:szCs w:val="26"/>
        </w:rPr>
      </w:pPr>
    </w:p>
    <w:p w14:paraId="64937ED8" w14:textId="0982A0CE" w:rsidR="00691A42" w:rsidRPr="001462D4" w:rsidRDefault="00691A42" w:rsidP="00691A42">
      <w:pPr>
        <w:rPr>
          <w:rFonts w:ascii="Arial" w:eastAsiaTheme="majorEastAsia" w:hAnsi="Arial" w:cs="Arial"/>
          <w:b/>
          <w:bCs/>
          <w:color w:val="4F81BD" w:themeColor="accent1"/>
          <w:sz w:val="26"/>
          <w:szCs w:val="26"/>
        </w:rPr>
      </w:pPr>
      <w:r w:rsidRPr="001462D4">
        <w:rPr>
          <w:rFonts w:ascii="Arial" w:eastAsiaTheme="majorEastAsia" w:hAnsi="Arial" w:cs="Arial"/>
          <w:b/>
          <w:bCs/>
          <w:color w:val="4F81BD" w:themeColor="accent1"/>
          <w:sz w:val="26"/>
          <w:szCs w:val="26"/>
        </w:rPr>
        <w:t>1</w:t>
      </w:r>
      <w:r w:rsidR="002D43CE" w:rsidRPr="001462D4">
        <w:rPr>
          <w:rFonts w:ascii="Arial" w:eastAsiaTheme="majorEastAsia" w:hAnsi="Arial" w:cs="Arial"/>
          <w:b/>
          <w:bCs/>
          <w:color w:val="4F81BD" w:themeColor="accent1"/>
          <w:sz w:val="26"/>
          <w:szCs w:val="26"/>
        </w:rPr>
        <w:t>3</w:t>
      </w:r>
      <w:r w:rsidRPr="001462D4">
        <w:rPr>
          <w:rFonts w:ascii="Arial" w:eastAsiaTheme="majorEastAsia" w:hAnsi="Arial" w:cs="Arial"/>
          <w:b/>
          <w:bCs/>
          <w:color w:val="4F81BD" w:themeColor="accent1"/>
          <w:sz w:val="26"/>
          <w:szCs w:val="26"/>
        </w:rPr>
        <w:t>. Mode of Payment</w:t>
      </w:r>
    </w:p>
    <w:p w14:paraId="097611CB" w14:textId="77777777" w:rsidR="00691A42" w:rsidRPr="001462D4" w:rsidRDefault="00691A42" w:rsidP="00691A42">
      <w:pPr>
        <w:rPr>
          <w:rFonts w:ascii="Arial" w:hAnsi="Arial" w:cs="Arial"/>
          <w:b/>
          <w:bCs/>
        </w:rPr>
      </w:pPr>
      <w:r w:rsidRPr="001462D4">
        <w:rPr>
          <w:rFonts w:ascii="Arial" w:hAnsi="Arial" w:cs="Arial"/>
          <w:b/>
          <w:bCs/>
        </w:rPr>
        <w:t>The contract payment shall be as indicated below:</w:t>
      </w:r>
    </w:p>
    <w:p w14:paraId="14CD0563" w14:textId="3ED1452A" w:rsidR="00DB5157" w:rsidRPr="001462D4" w:rsidRDefault="00E62E76" w:rsidP="00DB5157">
      <w:pPr>
        <w:pStyle w:val="ListParagraph"/>
        <w:numPr>
          <w:ilvl w:val="0"/>
          <w:numId w:val="13"/>
        </w:numPr>
        <w:rPr>
          <w:rFonts w:ascii="Arial" w:hAnsi="Arial" w:cs="Arial"/>
          <w:sz w:val="24"/>
          <w:szCs w:val="24"/>
        </w:rPr>
      </w:pPr>
      <w:r w:rsidRPr="001462D4">
        <w:rPr>
          <w:rFonts w:ascii="Arial" w:hAnsi="Arial" w:cs="Arial"/>
          <w:sz w:val="24"/>
          <w:szCs w:val="24"/>
        </w:rPr>
        <w:t>1</w:t>
      </w:r>
      <w:r w:rsidR="00DB5157" w:rsidRPr="001462D4">
        <w:rPr>
          <w:rFonts w:ascii="Arial" w:hAnsi="Arial" w:cs="Arial"/>
          <w:sz w:val="24"/>
          <w:szCs w:val="24"/>
        </w:rPr>
        <w:t>0 percent of the agreed amount upon signing of the contract agreement</w:t>
      </w:r>
    </w:p>
    <w:p w14:paraId="36E85BD1" w14:textId="7272F70A" w:rsidR="00691A42" w:rsidRPr="001462D4" w:rsidRDefault="006023B6" w:rsidP="00C52FCE">
      <w:pPr>
        <w:pStyle w:val="ListParagraph"/>
        <w:numPr>
          <w:ilvl w:val="0"/>
          <w:numId w:val="13"/>
        </w:numPr>
        <w:rPr>
          <w:rFonts w:ascii="Arial" w:hAnsi="Arial" w:cs="Arial"/>
          <w:sz w:val="24"/>
          <w:szCs w:val="24"/>
        </w:rPr>
      </w:pPr>
      <w:r w:rsidRPr="001462D4">
        <w:rPr>
          <w:rFonts w:ascii="Arial" w:hAnsi="Arial" w:cs="Arial"/>
          <w:sz w:val="24"/>
          <w:szCs w:val="24"/>
        </w:rPr>
        <w:t>9</w:t>
      </w:r>
      <w:r w:rsidR="00F1019E" w:rsidRPr="001462D4">
        <w:rPr>
          <w:rFonts w:ascii="Arial" w:hAnsi="Arial" w:cs="Arial"/>
          <w:sz w:val="24"/>
          <w:szCs w:val="24"/>
        </w:rPr>
        <w:t>0 percent after completing all the tasks and Approved by ADF</w:t>
      </w:r>
    </w:p>
    <w:p w14:paraId="3C3627BF" w14:textId="77777777" w:rsidR="00691A42" w:rsidRPr="001462D4" w:rsidRDefault="00691A42">
      <w:pPr>
        <w:spacing w:after="120"/>
        <w:rPr>
          <w:rFonts w:ascii="Arial" w:hAnsi="Arial" w:cs="Arial"/>
        </w:rPr>
      </w:pPr>
    </w:p>
    <w:p w14:paraId="62242B71" w14:textId="77777777" w:rsidR="00C73327" w:rsidRPr="001462D4" w:rsidRDefault="00C73327">
      <w:pPr>
        <w:spacing w:after="120"/>
        <w:rPr>
          <w:rFonts w:ascii="Arial" w:hAnsi="Arial" w:cs="Arial"/>
        </w:rPr>
      </w:pPr>
    </w:p>
    <w:sectPr w:rsidR="00C73327" w:rsidRPr="001462D4"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456C" w14:textId="77777777" w:rsidR="003D301E" w:rsidRDefault="003D301E" w:rsidP="002955EC">
      <w:pPr>
        <w:spacing w:after="0" w:line="240" w:lineRule="auto"/>
      </w:pPr>
      <w:r>
        <w:separator/>
      </w:r>
    </w:p>
  </w:endnote>
  <w:endnote w:type="continuationSeparator" w:id="0">
    <w:p w14:paraId="02BABE34" w14:textId="77777777" w:rsidR="003D301E" w:rsidRDefault="003D301E" w:rsidP="0029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388E" w14:textId="77777777" w:rsidR="003D301E" w:rsidRDefault="003D301E" w:rsidP="002955EC">
      <w:pPr>
        <w:spacing w:after="0" w:line="240" w:lineRule="auto"/>
      </w:pPr>
      <w:r>
        <w:separator/>
      </w:r>
    </w:p>
  </w:footnote>
  <w:footnote w:type="continuationSeparator" w:id="0">
    <w:p w14:paraId="292B44AD" w14:textId="77777777" w:rsidR="003D301E" w:rsidRDefault="003D301E" w:rsidP="00295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EFB2" w14:textId="03800211" w:rsidR="002955EC" w:rsidRDefault="00436EE0" w:rsidP="00436EE0">
    <w:pPr>
      <w:pStyle w:val="Header"/>
    </w:pPr>
    <w:r>
      <w:t xml:space="preserve">African Disability </w:t>
    </w:r>
    <w:proofErr w:type="spellStart"/>
    <w:r>
      <w:t>Forum_ToR_</w:t>
    </w:r>
    <w:r w:rsidR="00E30662">
      <w:t>Consultant</w:t>
    </w:r>
    <w:r w:rsidR="00C01E28">
      <w:t>_ToT</w:t>
    </w:r>
    <w:proofErr w:type="spellEnd"/>
    <w:r w:rsidR="00C01E28">
      <w:t xml:space="preserve"> youth</w:t>
    </w:r>
  </w:p>
  <w:p w14:paraId="4FA7EF62" w14:textId="77777777" w:rsidR="002955EC" w:rsidRDefault="00295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062818"/>
    <w:multiLevelType w:val="hybridMultilevel"/>
    <w:tmpl w:val="9D10F4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665438"/>
    <w:multiLevelType w:val="hybridMultilevel"/>
    <w:tmpl w:val="5120B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925E65"/>
    <w:multiLevelType w:val="hybridMultilevel"/>
    <w:tmpl w:val="DD3E1714"/>
    <w:lvl w:ilvl="0" w:tplc="C3DC72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C34D1"/>
    <w:multiLevelType w:val="hybridMultilevel"/>
    <w:tmpl w:val="345ACB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F7D695F"/>
    <w:multiLevelType w:val="hybridMultilevel"/>
    <w:tmpl w:val="4DD67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646918"/>
    <w:multiLevelType w:val="hybridMultilevel"/>
    <w:tmpl w:val="F9BA1E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6E3FDA"/>
    <w:multiLevelType w:val="multilevel"/>
    <w:tmpl w:val="B8C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E0152"/>
    <w:multiLevelType w:val="hybridMultilevel"/>
    <w:tmpl w:val="DD3E1714"/>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A0489D"/>
    <w:multiLevelType w:val="hybridMultilevel"/>
    <w:tmpl w:val="968E3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39083A"/>
    <w:multiLevelType w:val="hybridMultilevel"/>
    <w:tmpl w:val="FA1ED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5222A7"/>
    <w:multiLevelType w:val="hybridMultilevel"/>
    <w:tmpl w:val="1CE4967A"/>
    <w:lvl w:ilvl="0" w:tplc="2E108836">
      <w:start w:val="3"/>
      <w:numFmt w:val="bullet"/>
      <w:lvlText w:val="-"/>
      <w:lvlJc w:val="left"/>
      <w:pPr>
        <w:ind w:left="720" w:hanging="360"/>
      </w:pPr>
      <w:rPr>
        <w:rFonts w:ascii="Aptos" w:eastAsiaTheme="minorEastAsia"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268118">
    <w:abstractNumId w:val="8"/>
  </w:num>
  <w:num w:numId="2" w16cid:durableId="1118639626">
    <w:abstractNumId w:val="6"/>
  </w:num>
  <w:num w:numId="3" w16cid:durableId="857088293">
    <w:abstractNumId w:val="5"/>
  </w:num>
  <w:num w:numId="4" w16cid:durableId="1887983413">
    <w:abstractNumId w:val="4"/>
  </w:num>
  <w:num w:numId="5" w16cid:durableId="800028647">
    <w:abstractNumId w:val="7"/>
  </w:num>
  <w:num w:numId="6" w16cid:durableId="1185511618">
    <w:abstractNumId w:val="3"/>
  </w:num>
  <w:num w:numId="7" w16cid:durableId="1848671503">
    <w:abstractNumId w:val="2"/>
  </w:num>
  <w:num w:numId="8" w16cid:durableId="706952230">
    <w:abstractNumId w:val="1"/>
  </w:num>
  <w:num w:numId="9" w16cid:durableId="1318074251">
    <w:abstractNumId w:val="0"/>
  </w:num>
  <w:num w:numId="10" w16cid:durableId="1624726276">
    <w:abstractNumId w:val="15"/>
  </w:num>
  <w:num w:numId="11" w16cid:durableId="1527676212">
    <w:abstractNumId w:val="18"/>
  </w:num>
  <w:num w:numId="12" w16cid:durableId="1870096810">
    <w:abstractNumId w:val="11"/>
  </w:num>
  <w:num w:numId="13" w16cid:durableId="1442994529">
    <w:abstractNumId w:val="16"/>
  </w:num>
  <w:num w:numId="14" w16cid:durableId="1304581864">
    <w:abstractNumId w:val="13"/>
  </w:num>
  <w:num w:numId="15" w16cid:durableId="298658062">
    <w:abstractNumId w:val="14"/>
  </w:num>
  <w:num w:numId="16" w16cid:durableId="579798841">
    <w:abstractNumId w:val="12"/>
  </w:num>
  <w:num w:numId="17" w16cid:durableId="1415468499">
    <w:abstractNumId w:val="17"/>
  </w:num>
  <w:num w:numId="18" w16cid:durableId="1691760053">
    <w:abstractNumId w:val="9"/>
  </w:num>
  <w:num w:numId="19" w16cid:durableId="629090103">
    <w:abstractNumId w:val="10"/>
  </w:num>
  <w:num w:numId="20" w16cid:durableId="17722428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CD0"/>
    <w:rsid w:val="00017388"/>
    <w:rsid w:val="00017DB0"/>
    <w:rsid w:val="00020FCD"/>
    <w:rsid w:val="00034616"/>
    <w:rsid w:val="000454F4"/>
    <w:rsid w:val="0006063C"/>
    <w:rsid w:val="00060BFB"/>
    <w:rsid w:val="00061124"/>
    <w:rsid w:val="0006142A"/>
    <w:rsid w:val="00075A73"/>
    <w:rsid w:val="00083320"/>
    <w:rsid w:val="00090433"/>
    <w:rsid w:val="000966A7"/>
    <w:rsid w:val="000A6FDF"/>
    <w:rsid w:val="000B3823"/>
    <w:rsid w:val="000B4332"/>
    <w:rsid w:val="000C3BC7"/>
    <w:rsid w:val="000E2F4B"/>
    <w:rsid w:val="000E36DF"/>
    <w:rsid w:val="000E4220"/>
    <w:rsid w:val="000E5A65"/>
    <w:rsid w:val="00106DE3"/>
    <w:rsid w:val="00111C16"/>
    <w:rsid w:val="00113E87"/>
    <w:rsid w:val="001227ED"/>
    <w:rsid w:val="0013112D"/>
    <w:rsid w:val="00137008"/>
    <w:rsid w:val="0014148E"/>
    <w:rsid w:val="0014408C"/>
    <w:rsid w:val="00144860"/>
    <w:rsid w:val="001462D4"/>
    <w:rsid w:val="001470B6"/>
    <w:rsid w:val="0015074B"/>
    <w:rsid w:val="00151314"/>
    <w:rsid w:val="00151779"/>
    <w:rsid w:val="00163083"/>
    <w:rsid w:val="00163CBB"/>
    <w:rsid w:val="0017312A"/>
    <w:rsid w:val="00174388"/>
    <w:rsid w:val="00180BCB"/>
    <w:rsid w:val="00195221"/>
    <w:rsid w:val="001A3F0B"/>
    <w:rsid w:val="001C2FA3"/>
    <w:rsid w:val="001D548C"/>
    <w:rsid w:val="001D7D40"/>
    <w:rsid w:val="0021591C"/>
    <w:rsid w:val="00216742"/>
    <w:rsid w:val="00221F05"/>
    <w:rsid w:val="00222332"/>
    <w:rsid w:val="002230BA"/>
    <w:rsid w:val="002275B3"/>
    <w:rsid w:val="0023436E"/>
    <w:rsid w:val="00241253"/>
    <w:rsid w:val="002453ED"/>
    <w:rsid w:val="002652F0"/>
    <w:rsid w:val="00277C9E"/>
    <w:rsid w:val="002955EC"/>
    <w:rsid w:val="0029639D"/>
    <w:rsid w:val="002A0A11"/>
    <w:rsid w:val="002A2032"/>
    <w:rsid w:val="002A4C7A"/>
    <w:rsid w:val="002B4319"/>
    <w:rsid w:val="002D43CE"/>
    <w:rsid w:val="002E31FE"/>
    <w:rsid w:val="002E7080"/>
    <w:rsid w:val="003012BF"/>
    <w:rsid w:val="00302E89"/>
    <w:rsid w:val="003041DF"/>
    <w:rsid w:val="00313777"/>
    <w:rsid w:val="00314B42"/>
    <w:rsid w:val="00326F90"/>
    <w:rsid w:val="00340457"/>
    <w:rsid w:val="00344718"/>
    <w:rsid w:val="00351F7D"/>
    <w:rsid w:val="00354B97"/>
    <w:rsid w:val="003627F4"/>
    <w:rsid w:val="0036660B"/>
    <w:rsid w:val="00366D13"/>
    <w:rsid w:val="0037306D"/>
    <w:rsid w:val="00373F9F"/>
    <w:rsid w:val="0038258F"/>
    <w:rsid w:val="0039126F"/>
    <w:rsid w:val="003C4177"/>
    <w:rsid w:val="003D0AA1"/>
    <w:rsid w:val="003D301E"/>
    <w:rsid w:val="00413B55"/>
    <w:rsid w:val="00417ABE"/>
    <w:rsid w:val="00424330"/>
    <w:rsid w:val="00424AE1"/>
    <w:rsid w:val="0043513C"/>
    <w:rsid w:val="00436EE0"/>
    <w:rsid w:val="0044215B"/>
    <w:rsid w:val="00463F4E"/>
    <w:rsid w:val="004719C0"/>
    <w:rsid w:val="004720F7"/>
    <w:rsid w:val="0049541D"/>
    <w:rsid w:val="004A76D8"/>
    <w:rsid w:val="004B4C72"/>
    <w:rsid w:val="004B55F2"/>
    <w:rsid w:val="004C193B"/>
    <w:rsid w:val="004C259D"/>
    <w:rsid w:val="004C2A80"/>
    <w:rsid w:val="004C56A6"/>
    <w:rsid w:val="004D0B43"/>
    <w:rsid w:val="004D588B"/>
    <w:rsid w:val="004E029D"/>
    <w:rsid w:val="004F03EA"/>
    <w:rsid w:val="005109FB"/>
    <w:rsid w:val="005127A7"/>
    <w:rsid w:val="005242F1"/>
    <w:rsid w:val="00524966"/>
    <w:rsid w:val="005431C3"/>
    <w:rsid w:val="00543D05"/>
    <w:rsid w:val="005658A4"/>
    <w:rsid w:val="00575763"/>
    <w:rsid w:val="00577238"/>
    <w:rsid w:val="0059553F"/>
    <w:rsid w:val="005A135F"/>
    <w:rsid w:val="005A1F4B"/>
    <w:rsid w:val="005A4F16"/>
    <w:rsid w:val="005B4AF0"/>
    <w:rsid w:val="005C012C"/>
    <w:rsid w:val="005C6A2F"/>
    <w:rsid w:val="005E2639"/>
    <w:rsid w:val="005E6D18"/>
    <w:rsid w:val="005F07B0"/>
    <w:rsid w:val="006023B6"/>
    <w:rsid w:val="00625174"/>
    <w:rsid w:val="00630FC1"/>
    <w:rsid w:val="006312BD"/>
    <w:rsid w:val="00642980"/>
    <w:rsid w:val="006500B5"/>
    <w:rsid w:val="0066512C"/>
    <w:rsid w:val="0067356D"/>
    <w:rsid w:val="00673EE2"/>
    <w:rsid w:val="00691A42"/>
    <w:rsid w:val="006A2C2B"/>
    <w:rsid w:val="006D5A28"/>
    <w:rsid w:val="006D66CD"/>
    <w:rsid w:val="006F014B"/>
    <w:rsid w:val="007277D0"/>
    <w:rsid w:val="007455F7"/>
    <w:rsid w:val="0075234E"/>
    <w:rsid w:val="00785CF6"/>
    <w:rsid w:val="00785EEF"/>
    <w:rsid w:val="007B33D8"/>
    <w:rsid w:val="007D065A"/>
    <w:rsid w:val="007D5DC9"/>
    <w:rsid w:val="007E3DF6"/>
    <w:rsid w:val="007E72DA"/>
    <w:rsid w:val="007F1649"/>
    <w:rsid w:val="008157BA"/>
    <w:rsid w:val="00817639"/>
    <w:rsid w:val="00823E03"/>
    <w:rsid w:val="00827D2C"/>
    <w:rsid w:val="00831C8E"/>
    <w:rsid w:val="008368E4"/>
    <w:rsid w:val="00837024"/>
    <w:rsid w:val="008447B5"/>
    <w:rsid w:val="008476FC"/>
    <w:rsid w:val="00850B7A"/>
    <w:rsid w:val="008548F2"/>
    <w:rsid w:val="00855C44"/>
    <w:rsid w:val="008654A6"/>
    <w:rsid w:val="00885A3A"/>
    <w:rsid w:val="00886284"/>
    <w:rsid w:val="008B5DE4"/>
    <w:rsid w:val="008C35CF"/>
    <w:rsid w:val="008C7300"/>
    <w:rsid w:val="008D1878"/>
    <w:rsid w:val="008D42C3"/>
    <w:rsid w:val="008D6B85"/>
    <w:rsid w:val="008F2C20"/>
    <w:rsid w:val="008F4F4C"/>
    <w:rsid w:val="00925BAA"/>
    <w:rsid w:val="00930D7F"/>
    <w:rsid w:val="0094756E"/>
    <w:rsid w:val="00956A23"/>
    <w:rsid w:val="00962D2A"/>
    <w:rsid w:val="00966FD3"/>
    <w:rsid w:val="00976264"/>
    <w:rsid w:val="00980C8F"/>
    <w:rsid w:val="00987448"/>
    <w:rsid w:val="00996590"/>
    <w:rsid w:val="009A104B"/>
    <w:rsid w:val="009A4189"/>
    <w:rsid w:val="009A787C"/>
    <w:rsid w:val="009B6414"/>
    <w:rsid w:val="009C1481"/>
    <w:rsid w:val="009C3DE7"/>
    <w:rsid w:val="009D396F"/>
    <w:rsid w:val="009D51EC"/>
    <w:rsid w:val="009E359A"/>
    <w:rsid w:val="009F1895"/>
    <w:rsid w:val="00A116EA"/>
    <w:rsid w:val="00A42F25"/>
    <w:rsid w:val="00A45B00"/>
    <w:rsid w:val="00A51C54"/>
    <w:rsid w:val="00A5681F"/>
    <w:rsid w:val="00A56D97"/>
    <w:rsid w:val="00A64AAB"/>
    <w:rsid w:val="00A65796"/>
    <w:rsid w:val="00A838AE"/>
    <w:rsid w:val="00A9233D"/>
    <w:rsid w:val="00A942A5"/>
    <w:rsid w:val="00AA1D8D"/>
    <w:rsid w:val="00AA788C"/>
    <w:rsid w:val="00AB01D9"/>
    <w:rsid w:val="00AC3F25"/>
    <w:rsid w:val="00AC4879"/>
    <w:rsid w:val="00AD51BF"/>
    <w:rsid w:val="00AD748E"/>
    <w:rsid w:val="00AE2B81"/>
    <w:rsid w:val="00AF0636"/>
    <w:rsid w:val="00B324E6"/>
    <w:rsid w:val="00B33020"/>
    <w:rsid w:val="00B3667E"/>
    <w:rsid w:val="00B47730"/>
    <w:rsid w:val="00B54AD4"/>
    <w:rsid w:val="00B570E4"/>
    <w:rsid w:val="00B707DE"/>
    <w:rsid w:val="00B75EC1"/>
    <w:rsid w:val="00B85DBA"/>
    <w:rsid w:val="00BA3475"/>
    <w:rsid w:val="00BA3A9F"/>
    <w:rsid w:val="00BA3F1D"/>
    <w:rsid w:val="00BB27DB"/>
    <w:rsid w:val="00BB7DF4"/>
    <w:rsid w:val="00BF34CC"/>
    <w:rsid w:val="00BF5E03"/>
    <w:rsid w:val="00C01E28"/>
    <w:rsid w:val="00C23027"/>
    <w:rsid w:val="00C26F81"/>
    <w:rsid w:val="00C35069"/>
    <w:rsid w:val="00C42841"/>
    <w:rsid w:val="00C52FCE"/>
    <w:rsid w:val="00C5534D"/>
    <w:rsid w:val="00C73327"/>
    <w:rsid w:val="00C769AC"/>
    <w:rsid w:val="00C8059F"/>
    <w:rsid w:val="00C941FE"/>
    <w:rsid w:val="00CA0488"/>
    <w:rsid w:val="00CA34BD"/>
    <w:rsid w:val="00CB0664"/>
    <w:rsid w:val="00CB58F6"/>
    <w:rsid w:val="00CC3CCE"/>
    <w:rsid w:val="00CC6603"/>
    <w:rsid w:val="00CC77DD"/>
    <w:rsid w:val="00CD31E3"/>
    <w:rsid w:val="00CF1A98"/>
    <w:rsid w:val="00D04761"/>
    <w:rsid w:val="00D10067"/>
    <w:rsid w:val="00D10916"/>
    <w:rsid w:val="00D15EB7"/>
    <w:rsid w:val="00D31437"/>
    <w:rsid w:val="00D34C90"/>
    <w:rsid w:val="00D354B6"/>
    <w:rsid w:val="00D37725"/>
    <w:rsid w:val="00D542C9"/>
    <w:rsid w:val="00D54AAC"/>
    <w:rsid w:val="00D559BF"/>
    <w:rsid w:val="00D56E52"/>
    <w:rsid w:val="00D7009B"/>
    <w:rsid w:val="00D80A67"/>
    <w:rsid w:val="00D900D3"/>
    <w:rsid w:val="00D955AB"/>
    <w:rsid w:val="00DB5157"/>
    <w:rsid w:val="00DC6DC5"/>
    <w:rsid w:val="00DD4343"/>
    <w:rsid w:val="00DE60C7"/>
    <w:rsid w:val="00E162B5"/>
    <w:rsid w:val="00E30662"/>
    <w:rsid w:val="00E32A54"/>
    <w:rsid w:val="00E44F27"/>
    <w:rsid w:val="00E47E12"/>
    <w:rsid w:val="00E57842"/>
    <w:rsid w:val="00E62842"/>
    <w:rsid w:val="00E62E76"/>
    <w:rsid w:val="00E73AF3"/>
    <w:rsid w:val="00E91CA8"/>
    <w:rsid w:val="00E97220"/>
    <w:rsid w:val="00EA0915"/>
    <w:rsid w:val="00EA4B85"/>
    <w:rsid w:val="00EA610A"/>
    <w:rsid w:val="00EC3B83"/>
    <w:rsid w:val="00EE4586"/>
    <w:rsid w:val="00EE6656"/>
    <w:rsid w:val="00F1019E"/>
    <w:rsid w:val="00F127F0"/>
    <w:rsid w:val="00F2574A"/>
    <w:rsid w:val="00F40A1C"/>
    <w:rsid w:val="00F71D1A"/>
    <w:rsid w:val="00F77816"/>
    <w:rsid w:val="00F86E64"/>
    <w:rsid w:val="00FA1EF1"/>
    <w:rsid w:val="00FA74F8"/>
    <w:rsid w:val="00FB1109"/>
    <w:rsid w:val="00FB4A59"/>
    <w:rsid w:val="00FC176C"/>
    <w:rsid w:val="00FC693F"/>
    <w:rsid w:val="00FF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96054A"/>
  <w14:defaultImageDpi w14:val="300"/>
  <w15:docId w15:val="{730F2A6D-E2C1-9A44-A233-FEFB0FAA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91A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adf-secretari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1268</Words>
  <Characters>7597</Characters>
  <Application>Microsoft Office Word</Application>
  <DocSecurity>0</DocSecurity>
  <Lines>217</Lines>
  <Paragraphs>113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Imededdine Ouertani</cp:lastModifiedBy>
  <cp:revision>58</cp:revision>
  <dcterms:created xsi:type="dcterms:W3CDTF">2026-03-11T23:19:00Z</dcterms:created>
  <dcterms:modified xsi:type="dcterms:W3CDTF">2026-03-18T15:10:00Z</dcterms:modified>
  <cp:category/>
</cp:coreProperties>
</file>